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CA" w:rsidRDefault="008D23CA" w:rsidP="008D23CA">
      <w:pPr>
        <w:pStyle w:val="HelpTopic"/>
        <w:spacing w:before="0" w:after="0"/>
        <w:jc w:val="center"/>
        <w:rPr>
          <w:sz w:val="72"/>
          <w:szCs w:val="72"/>
        </w:rPr>
      </w:pPr>
    </w:p>
    <w:p w:rsidR="008D23CA" w:rsidRDefault="008D23CA" w:rsidP="008D23CA">
      <w:pPr>
        <w:pStyle w:val="HelpTopic"/>
        <w:spacing w:before="0" w:after="0"/>
        <w:jc w:val="center"/>
        <w:rPr>
          <w:sz w:val="72"/>
          <w:szCs w:val="72"/>
        </w:rPr>
      </w:pPr>
    </w:p>
    <w:p w:rsidR="00E3444D" w:rsidRDefault="00E3444D" w:rsidP="008D23CA">
      <w:pPr>
        <w:pStyle w:val="HelpTopic"/>
        <w:spacing w:before="0" w:after="0"/>
        <w:jc w:val="center"/>
        <w:rPr>
          <w:sz w:val="72"/>
          <w:szCs w:val="72"/>
        </w:rPr>
      </w:pPr>
      <w:r w:rsidRPr="00E3444D">
        <w:rPr>
          <w:sz w:val="72"/>
          <w:szCs w:val="72"/>
        </w:rPr>
        <w:t>Instructions for Preparing</w:t>
      </w:r>
    </w:p>
    <w:p w:rsidR="008D23CA" w:rsidRDefault="00E3444D" w:rsidP="008D23CA">
      <w:pPr>
        <w:pStyle w:val="HelpTopic"/>
        <w:spacing w:before="0" w:after="0"/>
        <w:jc w:val="center"/>
        <w:rPr>
          <w:sz w:val="40"/>
          <w:szCs w:val="40"/>
        </w:rPr>
      </w:pPr>
      <w:r w:rsidRPr="00E3444D">
        <w:rPr>
          <w:sz w:val="72"/>
          <w:szCs w:val="72"/>
        </w:rPr>
        <w:t>Base Budget Submiss</w:t>
      </w:r>
      <w:r w:rsidR="008D23CA">
        <w:rPr>
          <w:sz w:val="72"/>
          <w:szCs w:val="72"/>
        </w:rPr>
        <w:t>ions</w:t>
      </w:r>
      <w:r w:rsidR="00273233" w:rsidRPr="00273233">
        <w:rPr>
          <w:rFonts w:asciiTheme="majorHAnsi" w:hAnsiTheme="majorHAnsi"/>
          <w:sz w:val="24"/>
          <w:szCs w:val="24"/>
        </w:rPr>
        <w:pict>
          <v:rect id="_x0000_i1025" style="width:468pt;height:1.5pt" o:hralign="center" o:hrstd="t" o:hr="t" fillcolor="#a0a0a0" stroked="f"/>
        </w:pict>
      </w: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Pr="008D23CA" w:rsidRDefault="008D23CA" w:rsidP="008D23CA">
      <w:pPr>
        <w:pStyle w:val="HelpTopic"/>
        <w:spacing w:before="0" w:after="0"/>
        <w:jc w:val="center"/>
        <w:rPr>
          <w:sz w:val="40"/>
          <w:szCs w:val="40"/>
        </w:rPr>
      </w:pPr>
      <w:r w:rsidRPr="008D23CA">
        <w:rPr>
          <w:sz w:val="40"/>
          <w:szCs w:val="40"/>
        </w:rPr>
        <w:t xml:space="preserve">2014-2016 Biennial </w:t>
      </w:r>
      <w:proofErr w:type="gramStart"/>
      <w:r w:rsidRPr="008D23CA">
        <w:rPr>
          <w:sz w:val="40"/>
          <w:szCs w:val="40"/>
        </w:rPr>
        <w:t>Budget</w:t>
      </w:r>
      <w:proofErr w:type="gramEnd"/>
    </w:p>
    <w:p w:rsidR="00E3444D" w:rsidRDefault="00E3444D" w:rsidP="00A941B1">
      <w:pPr>
        <w:pStyle w:val="HelpTopic"/>
        <w:spacing w:before="0" w:after="0"/>
        <w:rPr>
          <w:sz w:val="56"/>
          <w:szCs w:val="56"/>
        </w:rPr>
      </w:pPr>
    </w:p>
    <w:p w:rsidR="008D23CA" w:rsidRDefault="008D23CA" w:rsidP="008D23CA">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D23CA" w:rsidRDefault="008D23CA" w:rsidP="008D23CA">
      <w:pPr>
        <w:jc w:val="center"/>
        <w:rPr>
          <w:rFonts w:ascii="Bookman Old Style" w:hAnsi="Bookman Old Style"/>
          <w:b/>
          <w:sz w:val="16"/>
        </w:rPr>
      </w:pPr>
    </w:p>
    <w:p w:rsidR="008D23CA" w:rsidRPr="001807FE" w:rsidRDefault="008D23CA" w:rsidP="008D23CA">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E3444D" w:rsidRPr="001807FE" w:rsidRDefault="008D23CA" w:rsidP="008D23CA">
      <w:pPr>
        <w:jc w:val="center"/>
        <w:rPr>
          <w:rFonts w:ascii="Calibri" w:eastAsia="Times New Roman" w:hAnsi="Calibri" w:cs="Times New Roman"/>
          <w:b/>
          <w:bCs/>
          <w:color w:val="4F81BD"/>
          <w:sz w:val="40"/>
          <w:szCs w:val="40"/>
        </w:rPr>
      </w:pPr>
      <w:r w:rsidRPr="001807FE">
        <w:rPr>
          <w:rFonts w:ascii="Calibri" w:eastAsia="Times New Roman" w:hAnsi="Calibri" w:cs="Times New Roman"/>
          <w:b/>
          <w:bCs/>
          <w:color w:val="4F81BD"/>
          <w:sz w:val="40"/>
          <w:szCs w:val="40"/>
        </w:rPr>
        <w:t>May 2013</w:t>
      </w:r>
    </w:p>
    <w:p w:rsidR="00C56FD8" w:rsidRDefault="00C56FD8">
      <w:pPr>
        <w:rPr>
          <w:rFonts w:cs="Arial"/>
          <w:b/>
          <w:bCs/>
          <w:sz w:val="32"/>
          <w:szCs w:val="32"/>
        </w:rPr>
      </w:pPr>
      <w:r>
        <w:rPr>
          <w:rFonts w:cs="Arial"/>
          <w:b/>
          <w:bCs/>
          <w:sz w:val="32"/>
          <w:szCs w:val="32"/>
        </w:rPr>
        <w:br w:type="page"/>
      </w:r>
    </w:p>
    <w:p w:rsidR="00C56FD8" w:rsidRDefault="00C56FD8" w:rsidP="00C56FD8">
      <w:pPr>
        <w:jc w:val="center"/>
        <w:rPr>
          <w:rFonts w:cs="Arial"/>
          <w:b/>
          <w:bCs/>
          <w:sz w:val="32"/>
          <w:szCs w:val="32"/>
        </w:rPr>
      </w:pPr>
      <w:r w:rsidRPr="00633C97">
        <w:rPr>
          <w:rFonts w:cs="Arial"/>
          <w:b/>
          <w:bCs/>
          <w:sz w:val="32"/>
          <w:szCs w:val="32"/>
        </w:rPr>
        <w:lastRenderedPageBreak/>
        <w:t>TABLE OF CONTENTS</w:t>
      </w:r>
    </w:p>
    <w:p w:rsidR="002D23BA" w:rsidRDefault="002D23BA" w:rsidP="00C56FD8">
      <w:pPr>
        <w:jc w:val="center"/>
        <w:rPr>
          <w:rFonts w:cs="Arial"/>
          <w:b/>
          <w:bCs/>
          <w:sz w:val="32"/>
          <w:szCs w:val="32"/>
        </w:rPr>
      </w:pPr>
    </w:p>
    <w:p w:rsidR="002D23BA" w:rsidRDefault="002D23BA" w:rsidP="00C56FD8">
      <w:pPr>
        <w:jc w:val="center"/>
        <w:rPr>
          <w:rFonts w:cs="Arial"/>
          <w:b/>
          <w:bCs/>
          <w:sz w:val="32"/>
          <w:szCs w:val="32"/>
        </w:rPr>
      </w:pPr>
    </w:p>
    <w:bookmarkStart w:id="0" w:name="_Toc179785149"/>
    <w:p w:rsidR="00FB0321" w:rsidRDefault="00273233">
      <w:pPr>
        <w:pStyle w:val="TOC1"/>
        <w:tabs>
          <w:tab w:val="right" w:leader="dot" w:pos="9926"/>
        </w:tabs>
        <w:rPr>
          <w:rFonts w:eastAsiaTheme="minorEastAsia"/>
          <w:b w:val="0"/>
          <w:bCs w:val="0"/>
          <w:caps w:val="0"/>
          <w:noProof/>
          <w:sz w:val="22"/>
          <w:szCs w:val="22"/>
        </w:rPr>
      </w:pPr>
      <w:r w:rsidRPr="00273233">
        <w:rPr>
          <w:rFonts w:ascii="Calibri" w:hAnsi="Calibri"/>
          <w:color w:val="4F81BD"/>
        </w:rPr>
        <w:fldChar w:fldCharType="begin"/>
      </w:r>
      <w:r w:rsidR="0039796F">
        <w:rPr>
          <w:rFonts w:ascii="Calibri" w:hAnsi="Calibri"/>
          <w:color w:val="4F81BD"/>
        </w:rPr>
        <w:instrText xml:space="preserve"> TOC \h \z \t "SubHeading,2,MyHeading,1" </w:instrText>
      </w:r>
      <w:r w:rsidRPr="00273233">
        <w:rPr>
          <w:rFonts w:ascii="Calibri" w:hAnsi="Calibri"/>
          <w:color w:val="4F81BD"/>
        </w:rPr>
        <w:fldChar w:fldCharType="separate"/>
      </w:r>
      <w:hyperlink w:anchor="_Toc355338427" w:history="1">
        <w:r w:rsidR="00FB0321" w:rsidRPr="00E9100A">
          <w:rPr>
            <w:rStyle w:val="Hyperlink"/>
            <w:noProof/>
          </w:rPr>
          <w:t>Base Budget Overview</w:t>
        </w:r>
        <w:r w:rsidR="00FB0321">
          <w:rPr>
            <w:noProof/>
            <w:webHidden/>
          </w:rPr>
          <w:tab/>
        </w:r>
        <w:r>
          <w:rPr>
            <w:noProof/>
            <w:webHidden/>
          </w:rPr>
          <w:fldChar w:fldCharType="begin"/>
        </w:r>
        <w:r w:rsidR="00FB0321">
          <w:rPr>
            <w:noProof/>
            <w:webHidden/>
          </w:rPr>
          <w:instrText xml:space="preserve"> PAGEREF _Toc355338427 \h </w:instrText>
        </w:r>
        <w:r>
          <w:rPr>
            <w:noProof/>
            <w:webHidden/>
          </w:rPr>
        </w:r>
        <w:r>
          <w:rPr>
            <w:noProof/>
            <w:webHidden/>
          </w:rPr>
          <w:fldChar w:fldCharType="separate"/>
        </w:r>
        <w:r w:rsidR="00AC61C9">
          <w:rPr>
            <w:noProof/>
            <w:webHidden/>
          </w:rPr>
          <w:t>1</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28" w:history="1">
        <w:r w:rsidR="00FB0321" w:rsidRPr="00E9100A">
          <w:rPr>
            <w:rStyle w:val="Hyperlink"/>
            <w:noProof/>
          </w:rPr>
          <w:t>About the Base Budget Submission</w:t>
        </w:r>
        <w:r w:rsidR="00FB0321">
          <w:rPr>
            <w:noProof/>
            <w:webHidden/>
          </w:rPr>
          <w:tab/>
        </w:r>
        <w:r>
          <w:rPr>
            <w:noProof/>
            <w:webHidden/>
          </w:rPr>
          <w:fldChar w:fldCharType="begin"/>
        </w:r>
        <w:r w:rsidR="00FB0321">
          <w:rPr>
            <w:noProof/>
            <w:webHidden/>
          </w:rPr>
          <w:instrText xml:space="preserve"> PAGEREF _Toc355338428 \h </w:instrText>
        </w:r>
        <w:r>
          <w:rPr>
            <w:noProof/>
            <w:webHidden/>
          </w:rPr>
        </w:r>
        <w:r>
          <w:rPr>
            <w:noProof/>
            <w:webHidden/>
          </w:rPr>
          <w:fldChar w:fldCharType="separate"/>
        </w:r>
        <w:r w:rsidR="00AC61C9">
          <w:rPr>
            <w:noProof/>
            <w:webHidden/>
          </w:rPr>
          <w:t>1</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29" w:history="1">
        <w:r w:rsidR="00FB0321" w:rsidRPr="00E9100A">
          <w:rPr>
            <w:rStyle w:val="Hyperlink"/>
            <w:noProof/>
          </w:rPr>
          <w:t>What’s new or different this year?</w:t>
        </w:r>
        <w:r w:rsidR="00FB0321">
          <w:rPr>
            <w:noProof/>
            <w:webHidden/>
          </w:rPr>
          <w:tab/>
        </w:r>
        <w:r>
          <w:rPr>
            <w:noProof/>
            <w:webHidden/>
          </w:rPr>
          <w:fldChar w:fldCharType="begin"/>
        </w:r>
        <w:r w:rsidR="00FB0321">
          <w:rPr>
            <w:noProof/>
            <w:webHidden/>
          </w:rPr>
          <w:instrText xml:space="preserve"> PAGEREF _Toc355338429 \h </w:instrText>
        </w:r>
        <w:r>
          <w:rPr>
            <w:noProof/>
            <w:webHidden/>
          </w:rPr>
        </w:r>
        <w:r>
          <w:rPr>
            <w:noProof/>
            <w:webHidden/>
          </w:rPr>
          <w:fldChar w:fldCharType="separate"/>
        </w:r>
        <w:r w:rsidR="00AC61C9">
          <w:rPr>
            <w:noProof/>
            <w:webHidden/>
          </w:rPr>
          <w:t>1</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30" w:history="1">
        <w:r w:rsidR="00FB0321" w:rsidRPr="00E9100A">
          <w:rPr>
            <w:rStyle w:val="Hyperlink"/>
            <w:noProof/>
          </w:rPr>
          <w:t>Things to Consider</w:t>
        </w:r>
        <w:r w:rsidR="00FB0321">
          <w:rPr>
            <w:noProof/>
            <w:webHidden/>
          </w:rPr>
          <w:tab/>
        </w:r>
        <w:r>
          <w:rPr>
            <w:noProof/>
            <w:webHidden/>
          </w:rPr>
          <w:fldChar w:fldCharType="begin"/>
        </w:r>
        <w:r w:rsidR="00FB0321">
          <w:rPr>
            <w:noProof/>
            <w:webHidden/>
          </w:rPr>
          <w:instrText xml:space="preserve"> PAGEREF _Toc355338430 \h </w:instrText>
        </w:r>
        <w:r>
          <w:rPr>
            <w:noProof/>
            <w:webHidden/>
          </w:rPr>
        </w:r>
        <w:r>
          <w:rPr>
            <w:noProof/>
            <w:webHidden/>
          </w:rPr>
          <w:fldChar w:fldCharType="separate"/>
        </w:r>
        <w:r w:rsidR="00AC61C9">
          <w:rPr>
            <w:noProof/>
            <w:webHidden/>
          </w:rPr>
          <w:t>1</w:t>
        </w:r>
        <w:r>
          <w:rPr>
            <w:noProof/>
            <w:webHidden/>
          </w:rPr>
          <w:fldChar w:fldCharType="end"/>
        </w:r>
      </w:hyperlink>
    </w:p>
    <w:p w:rsidR="00FB0321" w:rsidRDefault="00273233">
      <w:pPr>
        <w:pStyle w:val="TOC1"/>
        <w:tabs>
          <w:tab w:val="right" w:leader="dot" w:pos="9926"/>
        </w:tabs>
        <w:rPr>
          <w:rFonts w:eastAsiaTheme="minorEastAsia"/>
          <w:b w:val="0"/>
          <w:bCs w:val="0"/>
          <w:caps w:val="0"/>
          <w:noProof/>
          <w:sz w:val="22"/>
          <w:szCs w:val="22"/>
        </w:rPr>
      </w:pPr>
      <w:hyperlink w:anchor="_Toc355338431" w:history="1">
        <w:r w:rsidR="00FB0321" w:rsidRPr="00E9100A">
          <w:rPr>
            <w:rStyle w:val="Hyperlink"/>
            <w:noProof/>
          </w:rPr>
          <w:t>Budget Calendar</w:t>
        </w:r>
        <w:r w:rsidR="00FB0321">
          <w:rPr>
            <w:noProof/>
            <w:webHidden/>
          </w:rPr>
          <w:tab/>
        </w:r>
        <w:r>
          <w:rPr>
            <w:noProof/>
            <w:webHidden/>
          </w:rPr>
          <w:fldChar w:fldCharType="begin"/>
        </w:r>
        <w:r w:rsidR="00FB0321">
          <w:rPr>
            <w:noProof/>
            <w:webHidden/>
          </w:rPr>
          <w:instrText xml:space="preserve"> PAGEREF _Toc355338431 \h </w:instrText>
        </w:r>
        <w:r>
          <w:rPr>
            <w:noProof/>
            <w:webHidden/>
          </w:rPr>
        </w:r>
        <w:r>
          <w:rPr>
            <w:noProof/>
            <w:webHidden/>
          </w:rPr>
          <w:fldChar w:fldCharType="separate"/>
        </w:r>
        <w:r w:rsidR="00AC61C9">
          <w:rPr>
            <w:noProof/>
            <w:webHidden/>
          </w:rPr>
          <w:t>2</w:t>
        </w:r>
        <w:r>
          <w:rPr>
            <w:noProof/>
            <w:webHidden/>
          </w:rPr>
          <w:fldChar w:fldCharType="end"/>
        </w:r>
      </w:hyperlink>
    </w:p>
    <w:p w:rsidR="00FB0321" w:rsidRDefault="00273233">
      <w:pPr>
        <w:pStyle w:val="TOC1"/>
        <w:tabs>
          <w:tab w:val="right" w:leader="dot" w:pos="9926"/>
        </w:tabs>
        <w:rPr>
          <w:rFonts w:eastAsiaTheme="minorEastAsia"/>
          <w:b w:val="0"/>
          <w:bCs w:val="0"/>
          <w:caps w:val="0"/>
          <w:noProof/>
          <w:sz w:val="22"/>
          <w:szCs w:val="22"/>
        </w:rPr>
      </w:pPr>
      <w:hyperlink w:anchor="_Toc355338432" w:history="1">
        <w:r w:rsidR="00FB0321" w:rsidRPr="00E9100A">
          <w:rPr>
            <w:rStyle w:val="Hyperlink"/>
            <w:noProof/>
          </w:rPr>
          <w:t>Personal Services</w:t>
        </w:r>
        <w:r w:rsidR="00FB0321">
          <w:rPr>
            <w:noProof/>
            <w:webHidden/>
          </w:rPr>
          <w:tab/>
        </w:r>
        <w:r>
          <w:rPr>
            <w:noProof/>
            <w:webHidden/>
          </w:rPr>
          <w:fldChar w:fldCharType="begin"/>
        </w:r>
        <w:r w:rsidR="00FB0321">
          <w:rPr>
            <w:noProof/>
            <w:webHidden/>
          </w:rPr>
          <w:instrText xml:space="preserve"> PAGEREF _Toc355338432 \h </w:instrText>
        </w:r>
        <w:r>
          <w:rPr>
            <w:noProof/>
            <w:webHidden/>
          </w:rPr>
        </w:r>
        <w:r>
          <w:rPr>
            <w:noProof/>
            <w:webHidden/>
          </w:rPr>
          <w:fldChar w:fldCharType="separate"/>
        </w:r>
        <w:r w:rsidR="00AC61C9">
          <w:rPr>
            <w:noProof/>
            <w:webHidden/>
          </w:rPr>
          <w:t>2</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33" w:history="1">
        <w:r w:rsidR="00FB0321" w:rsidRPr="00E9100A">
          <w:rPr>
            <w:rStyle w:val="Hyperlink"/>
            <w:noProof/>
          </w:rPr>
          <w:t>Vacant Positions</w:t>
        </w:r>
        <w:r w:rsidR="00FB0321">
          <w:rPr>
            <w:noProof/>
            <w:webHidden/>
          </w:rPr>
          <w:tab/>
        </w:r>
        <w:r>
          <w:rPr>
            <w:noProof/>
            <w:webHidden/>
          </w:rPr>
          <w:fldChar w:fldCharType="begin"/>
        </w:r>
        <w:r w:rsidR="00FB0321">
          <w:rPr>
            <w:noProof/>
            <w:webHidden/>
          </w:rPr>
          <w:instrText xml:space="preserve"> PAGEREF _Toc355338433 \h </w:instrText>
        </w:r>
        <w:r>
          <w:rPr>
            <w:noProof/>
            <w:webHidden/>
          </w:rPr>
        </w:r>
        <w:r>
          <w:rPr>
            <w:noProof/>
            <w:webHidden/>
          </w:rPr>
          <w:fldChar w:fldCharType="separate"/>
        </w:r>
        <w:r w:rsidR="00AC61C9">
          <w:rPr>
            <w:noProof/>
            <w:webHidden/>
          </w:rPr>
          <w:t>2</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34" w:history="1">
        <w:r w:rsidR="00FB0321" w:rsidRPr="00E9100A">
          <w:rPr>
            <w:rStyle w:val="Hyperlink"/>
            <w:noProof/>
          </w:rPr>
          <w:t>Vacancy Savings</w:t>
        </w:r>
        <w:r w:rsidR="00FB0321">
          <w:rPr>
            <w:noProof/>
            <w:webHidden/>
          </w:rPr>
          <w:tab/>
        </w:r>
        <w:r>
          <w:rPr>
            <w:noProof/>
            <w:webHidden/>
          </w:rPr>
          <w:fldChar w:fldCharType="begin"/>
        </w:r>
        <w:r w:rsidR="00FB0321">
          <w:rPr>
            <w:noProof/>
            <w:webHidden/>
          </w:rPr>
          <w:instrText xml:space="preserve"> PAGEREF _Toc355338434 \h </w:instrText>
        </w:r>
        <w:r>
          <w:rPr>
            <w:noProof/>
            <w:webHidden/>
          </w:rPr>
        </w:r>
        <w:r>
          <w:rPr>
            <w:noProof/>
            <w:webHidden/>
          </w:rPr>
          <w:fldChar w:fldCharType="separate"/>
        </w:r>
        <w:r w:rsidR="00AC61C9">
          <w:rPr>
            <w:noProof/>
            <w:webHidden/>
          </w:rPr>
          <w:t>3</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35" w:history="1">
        <w:r w:rsidR="00FB0321" w:rsidRPr="00E9100A">
          <w:rPr>
            <w:rStyle w:val="Hyperlink"/>
            <w:noProof/>
          </w:rPr>
          <w:t>Authorized Position Level</w:t>
        </w:r>
        <w:r w:rsidR="00FB0321">
          <w:rPr>
            <w:noProof/>
            <w:webHidden/>
          </w:rPr>
          <w:tab/>
        </w:r>
        <w:r>
          <w:rPr>
            <w:noProof/>
            <w:webHidden/>
          </w:rPr>
          <w:fldChar w:fldCharType="begin"/>
        </w:r>
        <w:r w:rsidR="00FB0321">
          <w:rPr>
            <w:noProof/>
            <w:webHidden/>
          </w:rPr>
          <w:instrText xml:space="preserve"> PAGEREF _Toc355338435 \h </w:instrText>
        </w:r>
        <w:r>
          <w:rPr>
            <w:noProof/>
            <w:webHidden/>
          </w:rPr>
        </w:r>
        <w:r>
          <w:rPr>
            <w:noProof/>
            <w:webHidden/>
          </w:rPr>
          <w:fldChar w:fldCharType="separate"/>
        </w:r>
        <w:r w:rsidR="00AC61C9">
          <w:rPr>
            <w:noProof/>
            <w:webHidden/>
          </w:rPr>
          <w:t>3</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36" w:history="1">
        <w:r w:rsidR="00FB0321" w:rsidRPr="00E9100A">
          <w:rPr>
            <w:rStyle w:val="Hyperlink"/>
            <w:noProof/>
          </w:rPr>
          <w:t>Benefit Rates</w:t>
        </w:r>
        <w:r w:rsidR="00FB0321">
          <w:rPr>
            <w:noProof/>
            <w:webHidden/>
          </w:rPr>
          <w:tab/>
        </w:r>
        <w:r>
          <w:rPr>
            <w:noProof/>
            <w:webHidden/>
          </w:rPr>
          <w:fldChar w:fldCharType="begin"/>
        </w:r>
        <w:r w:rsidR="00FB0321">
          <w:rPr>
            <w:noProof/>
            <w:webHidden/>
          </w:rPr>
          <w:instrText xml:space="preserve"> PAGEREF _Toc355338436 \h </w:instrText>
        </w:r>
        <w:r>
          <w:rPr>
            <w:noProof/>
            <w:webHidden/>
          </w:rPr>
        </w:r>
        <w:r>
          <w:rPr>
            <w:noProof/>
            <w:webHidden/>
          </w:rPr>
          <w:fldChar w:fldCharType="separate"/>
        </w:r>
        <w:r w:rsidR="00AC61C9">
          <w:rPr>
            <w:noProof/>
            <w:webHidden/>
          </w:rPr>
          <w:t>4</w:t>
        </w:r>
        <w:r>
          <w:rPr>
            <w:noProof/>
            <w:webHidden/>
          </w:rPr>
          <w:fldChar w:fldCharType="end"/>
        </w:r>
      </w:hyperlink>
    </w:p>
    <w:p w:rsidR="00FB0321" w:rsidRDefault="00273233">
      <w:pPr>
        <w:pStyle w:val="TOC1"/>
        <w:tabs>
          <w:tab w:val="right" w:leader="dot" w:pos="9926"/>
        </w:tabs>
        <w:rPr>
          <w:rFonts w:eastAsiaTheme="minorEastAsia"/>
          <w:b w:val="0"/>
          <w:bCs w:val="0"/>
          <w:caps w:val="0"/>
          <w:noProof/>
          <w:sz w:val="22"/>
          <w:szCs w:val="22"/>
        </w:rPr>
      </w:pPr>
      <w:hyperlink w:anchor="_Toc355338437" w:history="1">
        <w:r w:rsidR="00FB0321" w:rsidRPr="00E9100A">
          <w:rPr>
            <w:rStyle w:val="Hyperlink"/>
            <w:noProof/>
          </w:rPr>
          <w:t>Nonpersonal Services</w:t>
        </w:r>
        <w:r w:rsidR="00FB0321">
          <w:rPr>
            <w:noProof/>
            <w:webHidden/>
          </w:rPr>
          <w:tab/>
        </w:r>
        <w:r>
          <w:rPr>
            <w:noProof/>
            <w:webHidden/>
          </w:rPr>
          <w:fldChar w:fldCharType="begin"/>
        </w:r>
        <w:r w:rsidR="00FB0321">
          <w:rPr>
            <w:noProof/>
            <w:webHidden/>
          </w:rPr>
          <w:instrText xml:space="preserve"> PAGEREF _Toc355338437 \h </w:instrText>
        </w:r>
        <w:r>
          <w:rPr>
            <w:noProof/>
            <w:webHidden/>
          </w:rPr>
        </w:r>
        <w:r>
          <w:rPr>
            <w:noProof/>
            <w:webHidden/>
          </w:rPr>
          <w:fldChar w:fldCharType="separate"/>
        </w:r>
        <w:r w:rsidR="00AC61C9">
          <w:rPr>
            <w:noProof/>
            <w:webHidden/>
          </w:rPr>
          <w:t>5</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38" w:history="1">
        <w:r w:rsidR="00FB0321" w:rsidRPr="00E9100A">
          <w:rPr>
            <w:rStyle w:val="Hyperlink"/>
            <w:noProof/>
          </w:rPr>
          <w:t>Required Nonpersonal Service Subobject Codes</w:t>
        </w:r>
        <w:r w:rsidR="00FB0321">
          <w:rPr>
            <w:noProof/>
            <w:webHidden/>
          </w:rPr>
          <w:tab/>
        </w:r>
        <w:r>
          <w:rPr>
            <w:noProof/>
            <w:webHidden/>
          </w:rPr>
          <w:fldChar w:fldCharType="begin"/>
        </w:r>
        <w:r w:rsidR="00FB0321">
          <w:rPr>
            <w:noProof/>
            <w:webHidden/>
          </w:rPr>
          <w:instrText xml:space="preserve"> PAGEREF _Toc355338438 \h </w:instrText>
        </w:r>
        <w:r>
          <w:rPr>
            <w:noProof/>
            <w:webHidden/>
          </w:rPr>
        </w:r>
        <w:r>
          <w:rPr>
            <w:noProof/>
            <w:webHidden/>
          </w:rPr>
          <w:fldChar w:fldCharType="separate"/>
        </w:r>
        <w:r w:rsidR="00AC61C9">
          <w:rPr>
            <w:noProof/>
            <w:webHidden/>
          </w:rPr>
          <w:t>5</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39" w:history="1">
        <w:r w:rsidR="00FB0321" w:rsidRPr="00E9100A">
          <w:rPr>
            <w:rStyle w:val="Hyperlink"/>
            <w:noProof/>
          </w:rPr>
          <w:t>Allowable Nonpersonal Convenience Codes</w:t>
        </w:r>
        <w:r w:rsidR="00FB0321">
          <w:rPr>
            <w:noProof/>
            <w:webHidden/>
          </w:rPr>
          <w:tab/>
        </w:r>
        <w:r>
          <w:rPr>
            <w:noProof/>
            <w:webHidden/>
          </w:rPr>
          <w:fldChar w:fldCharType="begin"/>
        </w:r>
        <w:r w:rsidR="00FB0321">
          <w:rPr>
            <w:noProof/>
            <w:webHidden/>
          </w:rPr>
          <w:instrText xml:space="preserve"> PAGEREF _Toc355338439 \h </w:instrText>
        </w:r>
        <w:r>
          <w:rPr>
            <w:noProof/>
            <w:webHidden/>
          </w:rPr>
        </w:r>
        <w:r>
          <w:rPr>
            <w:noProof/>
            <w:webHidden/>
          </w:rPr>
          <w:fldChar w:fldCharType="separate"/>
        </w:r>
        <w:r w:rsidR="00AC61C9">
          <w:rPr>
            <w:noProof/>
            <w:webHidden/>
          </w:rPr>
          <w:t>6</w:t>
        </w:r>
        <w:r>
          <w:rPr>
            <w:noProof/>
            <w:webHidden/>
          </w:rPr>
          <w:fldChar w:fldCharType="end"/>
        </w:r>
      </w:hyperlink>
    </w:p>
    <w:p w:rsidR="00FB0321" w:rsidRDefault="00273233">
      <w:pPr>
        <w:pStyle w:val="TOC1"/>
        <w:tabs>
          <w:tab w:val="right" w:leader="dot" w:pos="9926"/>
        </w:tabs>
        <w:rPr>
          <w:rFonts w:eastAsiaTheme="minorEastAsia"/>
          <w:b w:val="0"/>
          <w:bCs w:val="0"/>
          <w:caps w:val="0"/>
          <w:noProof/>
          <w:sz w:val="22"/>
          <w:szCs w:val="22"/>
        </w:rPr>
      </w:pPr>
      <w:hyperlink w:anchor="_Toc355338440" w:history="1">
        <w:r w:rsidR="00FB0321" w:rsidRPr="00E9100A">
          <w:rPr>
            <w:rStyle w:val="Hyperlink"/>
            <w:noProof/>
          </w:rPr>
          <w:t>Sum Sufficient Appropriations</w:t>
        </w:r>
        <w:r w:rsidR="00FB0321">
          <w:rPr>
            <w:noProof/>
            <w:webHidden/>
          </w:rPr>
          <w:tab/>
        </w:r>
        <w:r>
          <w:rPr>
            <w:noProof/>
            <w:webHidden/>
          </w:rPr>
          <w:fldChar w:fldCharType="begin"/>
        </w:r>
        <w:r w:rsidR="00FB0321">
          <w:rPr>
            <w:noProof/>
            <w:webHidden/>
          </w:rPr>
          <w:instrText xml:space="preserve"> PAGEREF _Toc355338440 \h </w:instrText>
        </w:r>
        <w:r>
          <w:rPr>
            <w:noProof/>
            <w:webHidden/>
          </w:rPr>
        </w:r>
        <w:r>
          <w:rPr>
            <w:noProof/>
            <w:webHidden/>
          </w:rPr>
          <w:fldChar w:fldCharType="separate"/>
        </w:r>
        <w:r w:rsidR="00AC61C9">
          <w:rPr>
            <w:noProof/>
            <w:webHidden/>
          </w:rPr>
          <w:t>7</w:t>
        </w:r>
        <w:r>
          <w:rPr>
            <w:noProof/>
            <w:webHidden/>
          </w:rPr>
          <w:fldChar w:fldCharType="end"/>
        </w:r>
      </w:hyperlink>
    </w:p>
    <w:p w:rsidR="00FB0321" w:rsidRDefault="00273233">
      <w:pPr>
        <w:pStyle w:val="TOC1"/>
        <w:tabs>
          <w:tab w:val="right" w:leader="dot" w:pos="9926"/>
        </w:tabs>
        <w:rPr>
          <w:rFonts w:eastAsiaTheme="minorEastAsia"/>
          <w:b w:val="0"/>
          <w:bCs w:val="0"/>
          <w:caps w:val="0"/>
          <w:noProof/>
          <w:sz w:val="22"/>
          <w:szCs w:val="22"/>
        </w:rPr>
      </w:pPr>
      <w:hyperlink w:anchor="_Toc355338441" w:history="1">
        <w:r w:rsidR="00FB0321" w:rsidRPr="00E9100A">
          <w:rPr>
            <w:rStyle w:val="Hyperlink"/>
            <w:noProof/>
          </w:rPr>
          <w:t>Components</w:t>
        </w:r>
        <w:r w:rsidR="00FB0321">
          <w:rPr>
            <w:noProof/>
            <w:webHidden/>
          </w:rPr>
          <w:tab/>
        </w:r>
        <w:r>
          <w:rPr>
            <w:noProof/>
            <w:webHidden/>
          </w:rPr>
          <w:fldChar w:fldCharType="begin"/>
        </w:r>
        <w:r w:rsidR="00FB0321">
          <w:rPr>
            <w:noProof/>
            <w:webHidden/>
          </w:rPr>
          <w:instrText xml:space="preserve"> PAGEREF _Toc355338441 \h </w:instrText>
        </w:r>
        <w:r>
          <w:rPr>
            <w:noProof/>
            <w:webHidden/>
          </w:rPr>
        </w:r>
        <w:r>
          <w:rPr>
            <w:noProof/>
            <w:webHidden/>
          </w:rPr>
          <w:fldChar w:fldCharType="separate"/>
        </w:r>
        <w:r w:rsidR="00AC61C9">
          <w:rPr>
            <w:noProof/>
            <w:webHidden/>
          </w:rPr>
          <w:t>7</w:t>
        </w:r>
        <w:r>
          <w:rPr>
            <w:noProof/>
            <w:webHidden/>
          </w:rPr>
          <w:fldChar w:fldCharType="end"/>
        </w:r>
      </w:hyperlink>
    </w:p>
    <w:p w:rsidR="00FB0321" w:rsidRDefault="00273233">
      <w:pPr>
        <w:pStyle w:val="TOC1"/>
        <w:tabs>
          <w:tab w:val="right" w:leader="dot" w:pos="9926"/>
        </w:tabs>
        <w:rPr>
          <w:rFonts w:eastAsiaTheme="minorEastAsia"/>
          <w:b w:val="0"/>
          <w:bCs w:val="0"/>
          <w:caps w:val="0"/>
          <w:noProof/>
          <w:sz w:val="22"/>
          <w:szCs w:val="22"/>
        </w:rPr>
      </w:pPr>
      <w:hyperlink w:anchor="_Toc355338442" w:history="1">
        <w:r w:rsidR="00FB0321" w:rsidRPr="00E9100A">
          <w:rPr>
            <w:rStyle w:val="Hyperlink"/>
            <w:noProof/>
          </w:rPr>
          <w:t>Strategic Link</w:t>
        </w:r>
        <w:r w:rsidR="00FB0321">
          <w:rPr>
            <w:noProof/>
            <w:webHidden/>
          </w:rPr>
          <w:tab/>
        </w:r>
        <w:r>
          <w:rPr>
            <w:noProof/>
            <w:webHidden/>
          </w:rPr>
          <w:fldChar w:fldCharType="begin"/>
        </w:r>
        <w:r w:rsidR="00FB0321">
          <w:rPr>
            <w:noProof/>
            <w:webHidden/>
          </w:rPr>
          <w:instrText xml:space="preserve"> PAGEREF _Toc355338442 \h </w:instrText>
        </w:r>
        <w:r>
          <w:rPr>
            <w:noProof/>
            <w:webHidden/>
          </w:rPr>
        </w:r>
        <w:r>
          <w:rPr>
            <w:noProof/>
            <w:webHidden/>
          </w:rPr>
          <w:fldChar w:fldCharType="separate"/>
        </w:r>
        <w:r w:rsidR="00AC61C9">
          <w:rPr>
            <w:noProof/>
            <w:webHidden/>
          </w:rPr>
          <w:t>7</w:t>
        </w:r>
        <w:r>
          <w:rPr>
            <w:noProof/>
            <w:webHidden/>
          </w:rPr>
          <w:fldChar w:fldCharType="end"/>
        </w:r>
      </w:hyperlink>
    </w:p>
    <w:p w:rsidR="00FB0321" w:rsidRDefault="00273233">
      <w:pPr>
        <w:pStyle w:val="TOC1"/>
        <w:tabs>
          <w:tab w:val="right" w:leader="dot" w:pos="9926"/>
        </w:tabs>
        <w:rPr>
          <w:rFonts w:eastAsiaTheme="minorEastAsia"/>
          <w:b w:val="0"/>
          <w:bCs w:val="0"/>
          <w:caps w:val="0"/>
          <w:noProof/>
          <w:sz w:val="22"/>
          <w:szCs w:val="22"/>
        </w:rPr>
      </w:pPr>
      <w:hyperlink w:anchor="_Toc355338443" w:history="1">
        <w:r w:rsidR="00FB0321" w:rsidRPr="00E9100A">
          <w:rPr>
            <w:rStyle w:val="Hyperlink"/>
            <w:noProof/>
          </w:rPr>
          <w:t>Performance Budgeting System Instructions</w:t>
        </w:r>
        <w:r w:rsidR="00FB0321">
          <w:rPr>
            <w:noProof/>
            <w:webHidden/>
          </w:rPr>
          <w:tab/>
        </w:r>
        <w:r>
          <w:rPr>
            <w:noProof/>
            <w:webHidden/>
          </w:rPr>
          <w:fldChar w:fldCharType="begin"/>
        </w:r>
        <w:r w:rsidR="00FB0321">
          <w:rPr>
            <w:noProof/>
            <w:webHidden/>
          </w:rPr>
          <w:instrText xml:space="preserve"> PAGEREF _Toc355338443 \h </w:instrText>
        </w:r>
        <w:r>
          <w:rPr>
            <w:noProof/>
            <w:webHidden/>
          </w:rPr>
        </w:r>
        <w:r>
          <w:rPr>
            <w:noProof/>
            <w:webHidden/>
          </w:rPr>
          <w:fldChar w:fldCharType="separate"/>
        </w:r>
        <w:r w:rsidR="00AC61C9">
          <w:rPr>
            <w:noProof/>
            <w:webHidden/>
          </w:rPr>
          <w:t>8</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44" w:history="1">
        <w:r w:rsidR="00FB0321" w:rsidRPr="00E9100A">
          <w:rPr>
            <w:rStyle w:val="Hyperlink"/>
            <w:noProof/>
          </w:rPr>
          <w:t>Base Budget Module Quick Guides</w:t>
        </w:r>
        <w:r w:rsidR="00FB0321">
          <w:rPr>
            <w:noProof/>
            <w:webHidden/>
          </w:rPr>
          <w:tab/>
        </w:r>
        <w:r>
          <w:rPr>
            <w:noProof/>
            <w:webHidden/>
          </w:rPr>
          <w:fldChar w:fldCharType="begin"/>
        </w:r>
        <w:r w:rsidR="00FB0321">
          <w:rPr>
            <w:noProof/>
            <w:webHidden/>
          </w:rPr>
          <w:instrText xml:space="preserve"> PAGEREF _Toc355338444 \h </w:instrText>
        </w:r>
        <w:r>
          <w:rPr>
            <w:noProof/>
            <w:webHidden/>
          </w:rPr>
        </w:r>
        <w:r>
          <w:rPr>
            <w:noProof/>
            <w:webHidden/>
          </w:rPr>
          <w:fldChar w:fldCharType="separate"/>
        </w:r>
        <w:r w:rsidR="00AC61C9">
          <w:rPr>
            <w:noProof/>
            <w:webHidden/>
          </w:rPr>
          <w:t>8</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45" w:history="1">
        <w:r w:rsidR="00FB0321" w:rsidRPr="00E9100A">
          <w:rPr>
            <w:rStyle w:val="Hyperlink"/>
            <w:noProof/>
          </w:rPr>
          <w:t>Overview Tab Overview</w:t>
        </w:r>
        <w:r w:rsidR="00FB0321">
          <w:rPr>
            <w:noProof/>
            <w:webHidden/>
          </w:rPr>
          <w:tab/>
        </w:r>
        <w:r>
          <w:rPr>
            <w:noProof/>
            <w:webHidden/>
          </w:rPr>
          <w:fldChar w:fldCharType="begin"/>
        </w:r>
        <w:r w:rsidR="00FB0321">
          <w:rPr>
            <w:noProof/>
            <w:webHidden/>
          </w:rPr>
          <w:instrText xml:space="preserve"> PAGEREF _Toc355338445 \h </w:instrText>
        </w:r>
        <w:r>
          <w:rPr>
            <w:noProof/>
            <w:webHidden/>
          </w:rPr>
        </w:r>
        <w:r>
          <w:rPr>
            <w:noProof/>
            <w:webHidden/>
          </w:rPr>
          <w:fldChar w:fldCharType="separate"/>
        </w:r>
        <w:r w:rsidR="00AC61C9">
          <w:rPr>
            <w:noProof/>
            <w:webHidden/>
          </w:rPr>
          <w:t>9</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46" w:history="1">
        <w:r w:rsidR="00FB0321" w:rsidRPr="00E9100A">
          <w:rPr>
            <w:rStyle w:val="Hyperlink"/>
            <w:noProof/>
          </w:rPr>
          <w:t>Overview Tab Instructions</w:t>
        </w:r>
        <w:r w:rsidR="00FB0321">
          <w:rPr>
            <w:noProof/>
            <w:webHidden/>
          </w:rPr>
          <w:tab/>
        </w:r>
        <w:r>
          <w:rPr>
            <w:noProof/>
            <w:webHidden/>
          </w:rPr>
          <w:fldChar w:fldCharType="begin"/>
        </w:r>
        <w:r w:rsidR="00FB0321">
          <w:rPr>
            <w:noProof/>
            <w:webHidden/>
          </w:rPr>
          <w:instrText xml:space="preserve"> PAGEREF _Toc355338446 \h </w:instrText>
        </w:r>
        <w:r>
          <w:rPr>
            <w:noProof/>
            <w:webHidden/>
          </w:rPr>
        </w:r>
        <w:r>
          <w:rPr>
            <w:noProof/>
            <w:webHidden/>
          </w:rPr>
          <w:fldChar w:fldCharType="separate"/>
        </w:r>
        <w:r w:rsidR="00AC61C9">
          <w:rPr>
            <w:noProof/>
            <w:webHidden/>
          </w:rPr>
          <w:t>10</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47" w:history="1">
        <w:r w:rsidR="00FB0321" w:rsidRPr="00E9100A">
          <w:rPr>
            <w:rStyle w:val="Hyperlink"/>
            <w:noProof/>
          </w:rPr>
          <w:t>Base Budget Tab Overview</w:t>
        </w:r>
        <w:r w:rsidR="00FB0321">
          <w:rPr>
            <w:noProof/>
            <w:webHidden/>
          </w:rPr>
          <w:tab/>
        </w:r>
        <w:r>
          <w:rPr>
            <w:noProof/>
            <w:webHidden/>
          </w:rPr>
          <w:fldChar w:fldCharType="begin"/>
        </w:r>
        <w:r w:rsidR="00FB0321">
          <w:rPr>
            <w:noProof/>
            <w:webHidden/>
          </w:rPr>
          <w:instrText xml:space="preserve"> PAGEREF _Toc355338447 \h </w:instrText>
        </w:r>
        <w:r>
          <w:rPr>
            <w:noProof/>
            <w:webHidden/>
          </w:rPr>
        </w:r>
        <w:r>
          <w:rPr>
            <w:noProof/>
            <w:webHidden/>
          </w:rPr>
          <w:fldChar w:fldCharType="separate"/>
        </w:r>
        <w:r w:rsidR="00AC61C9">
          <w:rPr>
            <w:noProof/>
            <w:webHidden/>
          </w:rPr>
          <w:t>11</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48" w:history="1">
        <w:r w:rsidR="00FB0321" w:rsidRPr="00E9100A">
          <w:rPr>
            <w:rStyle w:val="Hyperlink"/>
            <w:noProof/>
          </w:rPr>
          <w:t>Base Budget Tab Instructions</w:t>
        </w:r>
        <w:r w:rsidR="00FB0321">
          <w:rPr>
            <w:noProof/>
            <w:webHidden/>
          </w:rPr>
          <w:tab/>
        </w:r>
        <w:r>
          <w:rPr>
            <w:noProof/>
            <w:webHidden/>
          </w:rPr>
          <w:fldChar w:fldCharType="begin"/>
        </w:r>
        <w:r w:rsidR="00FB0321">
          <w:rPr>
            <w:noProof/>
            <w:webHidden/>
          </w:rPr>
          <w:instrText xml:space="preserve"> PAGEREF _Toc355338448 \h </w:instrText>
        </w:r>
        <w:r>
          <w:rPr>
            <w:noProof/>
            <w:webHidden/>
          </w:rPr>
        </w:r>
        <w:r>
          <w:rPr>
            <w:noProof/>
            <w:webHidden/>
          </w:rPr>
          <w:fldChar w:fldCharType="separate"/>
        </w:r>
        <w:r w:rsidR="00AC61C9">
          <w:rPr>
            <w:noProof/>
            <w:webHidden/>
          </w:rPr>
          <w:t>11</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49" w:history="1">
        <w:r w:rsidR="00FB0321" w:rsidRPr="00E9100A">
          <w:rPr>
            <w:rStyle w:val="Hyperlink"/>
            <w:noProof/>
          </w:rPr>
          <w:t>Position Planning Tab Overview</w:t>
        </w:r>
        <w:r w:rsidR="00FB0321">
          <w:rPr>
            <w:noProof/>
            <w:webHidden/>
          </w:rPr>
          <w:tab/>
        </w:r>
        <w:r>
          <w:rPr>
            <w:noProof/>
            <w:webHidden/>
          </w:rPr>
          <w:fldChar w:fldCharType="begin"/>
        </w:r>
        <w:r w:rsidR="00FB0321">
          <w:rPr>
            <w:noProof/>
            <w:webHidden/>
          </w:rPr>
          <w:instrText xml:space="preserve"> PAGEREF _Toc355338449 \h </w:instrText>
        </w:r>
        <w:r>
          <w:rPr>
            <w:noProof/>
            <w:webHidden/>
          </w:rPr>
        </w:r>
        <w:r>
          <w:rPr>
            <w:noProof/>
            <w:webHidden/>
          </w:rPr>
          <w:fldChar w:fldCharType="separate"/>
        </w:r>
        <w:r w:rsidR="00AC61C9">
          <w:rPr>
            <w:noProof/>
            <w:webHidden/>
          </w:rPr>
          <w:t>12</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50" w:history="1">
        <w:r w:rsidR="00FB0321" w:rsidRPr="00E9100A">
          <w:rPr>
            <w:rStyle w:val="Hyperlink"/>
            <w:noProof/>
          </w:rPr>
          <w:t>Position Planning Tab Instructions</w:t>
        </w:r>
        <w:r w:rsidR="00FB0321">
          <w:rPr>
            <w:noProof/>
            <w:webHidden/>
          </w:rPr>
          <w:tab/>
        </w:r>
        <w:r>
          <w:rPr>
            <w:noProof/>
            <w:webHidden/>
          </w:rPr>
          <w:fldChar w:fldCharType="begin"/>
        </w:r>
        <w:r w:rsidR="00FB0321">
          <w:rPr>
            <w:noProof/>
            <w:webHidden/>
          </w:rPr>
          <w:instrText xml:space="preserve"> PAGEREF _Toc355338450 \h </w:instrText>
        </w:r>
        <w:r>
          <w:rPr>
            <w:noProof/>
            <w:webHidden/>
          </w:rPr>
        </w:r>
        <w:r>
          <w:rPr>
            <w:noProof/>
            <w:webHidden/>
          </w:rPr>
          <w:fldChar w:fldCharType="separate"/>
        </w:r>
        <w:r w:rsidR="00AC61C9">
          <w:rPr>
            <w:noProof/>
            <w:webHidden/>
          </w:rPr>
          <w:t>12</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51" w:history="1">
        <w:r w:rsidR="00FB0321" w:rsidRPr="00E9100A">
          <w:rPr>
            <w:rStyle w:val="Hyperlink"/>
            <w:noProof/>
          </w:rPr>
          <w:t>Components Overview</w:t>
        </w:r>
        <w:r w:rsidR="00FB0321">
          <w:rPr>
            <w:noProof/>
            <w:webHidden/>
          </w:rPr>
          <w:tab/>
        </w:r>
        <w:r>
          <w:rPr>
            <w:noProof/>
            <w:webHidden/>
          </w:rPr>
          <w:fldChar w:fldCharType="begin"/>
        </w:r>
        <w:r w:rsidR="00FB0321">
          <w:rPr>
            <w:noProof/>
            <w:webHidden/>
          </w:rPr>
          <w:instrText xml:space="preserve"> PAGEREF _Toc355338451 \h </w:instrText>
        </w:r>
        <w:r>
          <w:rPr>
            <w:noProof/>
            <w:webHidden/>
          </w:rPr>
        </w:r>
        <w:r>
          <w:rPr>
            <w:noProof/>
            <w:webHidden/>
          </w:rPr>
          <w:fldChar w:fldCharType="separate"/>
        </w:r>
        <w:r w:rsidR="00AC61C9">
          <w:rPr>
            <w:noProof/>
            <w:webHidden/>
          </w:rPr>
          <w:t>16</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52" w:history="1">
        <w:r w:rsidR="00FB0321" w:rsidRPr="00E9100A">
          <w:rPr>
            <w:rStyle w:val="Hyperlink"/>
            <w:noProof/>
          </w:rPr>
          <w:t>Components Instructions</w:t>
        </w:r>
        <w:r w:rsidR="00FB0321">
          <w:rPr>
            <w:noProof/>
            <w:webHidden/>
          </w:rPr>
          <w:tab/>
        </w:r>
        <w:r>
          <w:rPr>
            <w:noProof/>
            <w:webHidden/>
          </w:rPr>
          <w:fldChar w:fldCharType="begin"/>
        </w:r>
        <w:r w:rsidR="00FB0321">
          <w:rPr>
            <w:noProof/>
            <w:webHidden/>
          </w:rPr>
          <w:instrText xml:space="preserve"> PAGEREF _Toc355338452 \h </w:instrText>
        </w:r>
        <w:r>
          <w:rPr>
            <w:noProof/>
            <w:webHidden/>
          </w:rPr>
        </w:r>
        <w:r>
          <w:rPr>
            <w:noProof/>
            <w:webHidden/>
          </w:rPr>
          <w:fldChar w:fldCharType="separate"/>
        </w:r>
        <w:r w:rsidR="00AC61C9">
          <w:rPr>
            <w:noProof/>
            <w:webHidden/>
          </w:rPr>
          <w:t>16</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53" w:history="1">
        <w:r w:rsidR="00FB0321" w:rsidRPr="00E9100A">
          <w:rPr>
            <w:rStyle w:val="Hyperlink"/>
            <w:noProof/>
          </w:rPr>
          <w:t>Strategic Link Overview</w:t>
        </w:r>
        <w:r w:rsidR="00FB0321">
          <w:rPr>
            <w:noProof/>
            <w:webHidden/>
          </w:rPr>
          <w:tab/>
        </w:r>
        <w:r>
          <w:rPr>
            <w:noProof/>
            <w:webHidden/>
          </w:rPr>
          <w:fldChar w:fldCharType="begin"/>
        </w:r>
        <w:r w:rsidR="00FB0321">
          <w:rPr>
            <w:noProof/>
            <w:webHidden/>
          </w:rPr>
          <w:instrText xml:space="preserve"> PAGEREF _Toc355338453 \h </w:instrText>
        </w:r>
        <w:r>
          <w:rPr>
            <w:noProof/>
            <w:webHidden/>
          </w:rPr>
        </w:r>
        <w:r>
          <w:rPr>
            <w:noProof/>
            <w:webHidden/>
          </w:rPr>
          <w:fldChar w:fldCharType="separate"/>
        </w:r>
        <w:r w:rsidR="00AC61C9">
          <w:rPr>
            <w:noProof/>
            <w:webHidden/>
          </w:rPr>
          <w:t>17</w:t>
        </w:r>
        <w:r>
          <w:rPr>
            <w:noProof/>
            <w:webHidden/>
          </w:rPr>
          <w:fldChar w:fldCharType="end"/>
        </w:r>
      </w:hyperlink>
    </w:p>
    <w:p w:rsidR="00FB0321" w:rsidRDefault="00273233">
      <w:pPr>
        <w:pStyle w:val="TOC2"/>
        <w:tabs>
          <w:tab w:val="right" w:leader="dot" w:pos="9926"/>
        </w:tabs>
        <w:rPr>
          <w:rFonts w:eastAsiaTheme="minorEastAsia"/>
          <w:smallCaps w:val="0"/>
          <w:noProof/>
          <w:sz w:val="22"/>
          <w:szCs w:val="22"/>
        </w:rPr>
      </w:pPr>
      <w:hyperlink w:anchor="_Toc355338454" w:history="1">
        <w:r w:rsidR="00FB0321" w:rsidRPr="00E9100A">
          <w:rPr>
            <w:rStyle w:val="Hyperlink"/>
            <w:noProof/>
          </w:rPr>
          <w:t>Strategic Link Instructions</w:t>
        </w:r>
        <w:r w:rsidR="00FB0321">
          <w:rPr>
            <w:noProof/>
            <w:webHidden/>
          </w:rPr>
          <w:tab/>
        </w:r>
        <w:r>
          <w:rPr>
            <w:noProof/>
            <w:webHidden/>
          </w:rPr>
          <w:fldChar w:fldCharType="begin"/>
        </w:r>
        <w:r w:rsidR="00FB0321">
          <w:rPr>
            <w:noProof/>
            <w:webHidden/>
          </w:rPr>
          <w:instrText xml:space="preserve"> PAGEREF _Toc355338454 \h </w:instrText>
        </w:r>
        <w:r>
          <w:rPr>
            <w:noProof/>
            <w:webHidden/>
          </w:rPr>
        </w:r>
        <w:r>
          <w:rPr>
            <w:noProof/>
            <w:webHidden/>
          </w:rPr>
          <w:fldChar w:fldCharType="separate"/>
        </w:r>
        <w:r w:rsidR="00AC61C9">
          <w:rPr>
            <w:noProof/>
            <w:webHidden/>
          </w:rPr>
          <w:t>17</w:t>
        </w:r>
        <w:r>
          <w:rPr>
            <w:noProof/>
            <w:webHidden/>
          </w:rPr>
          <w:fldChar w:fldCharType="end"/>
        </w:r>
      </w:hyperlink>
    </w:p>
    <w:p w:rsidR="000C0DDA" w:rsidRDefault="00273233" w:rsidP="00003579">
      <w:pPr>
        <w:pStyle w:val="Heading1"/>
        <w:spacing w:before="0" w:beforeAutospacing="0" w:after="0" w:afterAutospacing="0"/>
        <w:rPr>
          <w:rFonts w:ascii="Calibri" w:hAnsi="Calibri"/>
          <w:color w:val="4F81BD"/>
          <w:kern w:val="0"/>
        </w:rPr>
      </w:pPr>
      <w:r>
        <w:rPr>
          <w:rFonts w:ascii="Calibri" w:hAnsi="Calibri"/>
          <w:color w:val="4F81BD"/>
          <w:kern w:val="0"/>
        </w:rPr>
        <w:fldChar w:fldCharType="end"/>
      </w:r>
    </w:p>
    <w:p w:rsidR="000C0DDA" w:rsidRDefault="000C0DDA" w:rsidP="00003579">
      <w:pPr>
        <w:pStyle w:val="Heading1"/>
        <w:spacing w:before="0" w:beforeAutospacing="0" w:after="0" w:afterAutospacing="0"/>
        <w:rPr>
          <w:rFonts w:ascii="Calibri" w:hAnsi="Calibri"/>
          <w:color w:val="4F81BD"/>
          <w:kern w:val="0"/>
        </w:rPr>
      </w:pPr>
    </w:p>
    <w:p w:rsidR="000C0DDA" w:rsidRDefault="000C0DDA" w:rsidP="00003579">
      <w:pPr>
        <w:pStyle w:val="Heading1"/>
        <w:spacing w:before="0" w:beforeAutospacing="0" w:after="0" w:afterAutospacing="0"/>
        <w:rPr>
          <w:rFonts w:ascii="Calibri" w:hAnsi="Calibri"/>
          <w:color w:val="4F81BD"/>
          <w:kern w:val="0"/>
        </w:rPr>
      </w:pPr>
    </w:p>
    <w:p w:rsidR="000C0DDA" w:rsidRDefault="000C0DDA" w:rsidP="00003579">
      <w:pPr>
        <w:pStyle w:val="Heading1"/>
        <w:spacing w:before="0" w:beforeAutospacing="0" w:after="0" w:afterAutospacing="0"/>
        <w:rPr>
          <w:rFonts w:ascii="Calibri" w:hAnsi="Calibri"/>
          <w:color w:val="4F81BD"/>
          <w:kern w:val="0"/>
        </w:rPr>
      </w:pPr>
    </w:p>
    <w:p w:rsidR="000C0DDA" w:rsidRDefault="000C0DDA" w:rsidP="00003579">
      <w:pPr>
        <w:pStyle w:val="Heading1"/>
        <w:spacing w:before="0" w:beforeAutospacing="0" w:after="0" w:afterAutospacing="0"/>
        <w:rPr>
          <w:rFonts w:ascii="Calibri" w:hAnsi="Calibri"/>
          <w:color w:val="4F81BD"/>
          <w:kern w:val="0"/>
        </w:rPr>
        <w:sectPr w:rsidR="000C0DDA" w:rsidSect="00D51F00">
          <w:footerReference w:type="default" r:id="rId9"/>
          <w:pgSz w:w="12240" w:h="15840" w:code="1"/>
          <w:pgMar w:top="864" w:right="1152" w:bottom="1008" w:left="1152" w:header="720" w:footer="720" w:gutter="0"/>
          <w:cols w:space="720"/>
          <w:docGrid w:linePitch="360"/>
        </w:sectPr>
      </w:pPr>
    </w:p>
    <w:p w:rsidR="00003579" w:rsidRDefault="005D67BC" w:rsidP="00804ED8">
      <w:pPr>
        <w:pStyle w:val="MyHeading"/>
      </w:pPr>
      <w:bookmarkStart w:id="1" w:name="_Toc355338427"/>
      <w:r>
        <w:lastRenderedPageBreak/>
        <w:t xml:space="preserve">Base Budget </w:t>
      </w:r>
      <w:r w:rsidR="00003579" w:rsidRPr="00003579">
        <w:t>Overview</w:t>
      </w:r>
      <w:bookmarkEnd w:id="0"/>
      <w:bookmarkEnd w:id="1"/>
    </w:p>
    <w:p w:rsidR="00003579" w:rsidRPr="009D1299" w:rsidRDefault="00273233" w:rsidP="009D1299">
      <w:pPr>
        <w:pStyle w:val="HelpTopic"/>
        <w:spacing w:before="0" w:after="0"/>
        <w:jc w:val="center"/>
        <w:rPr>
          <w:sz w:val="16"/>
          <w:szCs w:val="16"/>
        </w:rPr>
      </w:pPr>
      <w:r w:rsidRPr="00273233">
        <w:rPr>
          <w:rFonts w:asciiTheme="majorHAnsi" w:hAnsiTheme="majorHAnsi"/>
          <w:sz w:val="16"/>
          <w:szCs w:val="16"/>
        </w:rPr>
        <w:pict>
          <v:rect id="_x0000_i1026" style="width:468pt;height:1.5pt" o:hralign="center" o:hrstd="t" o:hr="t" fillcolor="#a0a0a0" stroked="f"/>
        </w:pict>
      </w:r>
    </w:p>
    <w:p w:rsidR="00FA1D52" w:rsidRDefault="00FA1D52" w:rsidP="00804ED8">
      <w:pPr>
        <w:pStyle w:val="SubHeading"/>
        <w:rPr>
          <w:sz w:val="48"/>
          <w:szCs w:val="48"/>
        </w:rPr>
      </w:pPr>
      <w:bookmarkStart w:id="2" w:name="_Toc355338428"/>
      <w:r>
        <w:t>About the Base Budget Submission</w:t>
      </w:r>
      <w:bookmarkEnd w:id="2"/>
    </w:p>
    <w:p w:rsidR="00003579" w:rsidRDefault="00003579" w:rsidP="009D1299">
      <w:pPr>
        <w:pStyle w:val="StyleTimesNewRomanAfter4pt"/>
        <w:tabs>
          <w:tab w:val="left" w:pos="720"/>
        </w:tabs>
        <w:spacing w:before="0"/>
        <w:ind w:firstLine="0"/>
        <w:rPr>
          <w:rFonts w:asciiTheme="minorHAnsi" w:hAnsiTheme="minorHAnsi"/>
        </w:rPr>
      </w:pPr>
      <w:r w:rsidRPr="005D67BC">
        <w:rPr>
          <w:rFonts w:asciiTheme="minorHAnsi" w:hAnsiTheme="minorHAnsi"/>
        </w:rPr>
        <w:t>This package of instructions is the first your agency will receive over the next several months related to the development of</w:t>
      </w:r>
      <w:r w:rsidR="000545AE" w:rsidRPr="005D67BC">
        <w:rPr>
          <w:rFonts w:asciiTheme="minorHAnsi" w:hAnsiTheme="minorHAnsi"/>
        </w:rPr>
        <w:t xml:space="preserve"> the</w:t>
      </w:r>
      <w:r w:rsidRPr="005D67BC">
        <w:rPr>
          <w:rFonts w:asciiTheme="minorHAnsi" w:hAnsiTheme="minorHAnsi"/>
        </w:rPr>
        <w:t xml:space="preserve"> </w:t>
      </w:r>
      <w:r w:rsidR="000545AE" w:rsidRPr="005D67BC">
        <w:rPr>
          <w:rFonts w:asciiTheme="minorHAnsi" w:hAnsiTheme="minorHAnsi"/>
        </w:rPr>
        <w:t xml:space="preserve">2014-2016 biennium budget that will be presented by </w:t>
      </w:r>
      <w:r w:rsidRPr="005D67BC">
        <w:rPr>
          <w:rFonts w:asciiTheme="minorHAnsi" w:hAnsiTheme="minorHAnsi"/>
        </w:rPr>
        <w:t xml:space="preserve">the Governor </w:t>
      </w:r>
      <w:r w:rsidR="000545AE" w:rsidRPr="005D67BC">
        <w:rPr>
          <w:rFonts w:asciiTheme="minorHAnsi" w:hAnsiTheme="minorHAnsi"/>
        </w:rPr>
        <w:t xml:space="preserve">for the 2014 Session of the General Assembly.  </w:t>
      </w:r>
      <w:r w:rsidRPr="005D67BC">
        <w:rPr>
          <w:rFonts w:asciiTheme="minorHAnsi" w:hAnsiTheme="minorHAnsi"/>
        </w:rPr>
        <w:t>This package provides guidance and instructions for the preparation of your agency’s base budge</w:t>
      </w:r>
      <w:r w:rsidR="00980177">
        <w:rPr>
          <w:rFonts w:asciiTheme="minorHAnsi" w:hAnsiTheme="minorHAnsi"/>
        </w:rPr>
        <w:t>t</w:t>
      </w:r>
      <w:r w:rsidR="002269A5">
        <w:rPr>
          <w:rFonts w:asciiTheme="minorHAnsi" w:hAnsiTheme="minorHAnsi"/>
        </w:rPr>
        <w:t xml:space="preserve">, which is </w:t>
      </w:r>
      <w:r w:rsidR="00357CA0">
        <w:rPr>
          <w:rFonts w:asciiTheme="minorHAnsi" w:hAnsiTheme="minorHAnsi"/>
        </w:rPr>
        <w:t xml:space="preserve">due to DPB by </w:t>
      </w:r>
      <w:r w:rsidR="00357CA0" w:rsidRPr="00357CA0">
        <w:rPr>
          <w:rFonts w:asciiTheme="minorHAnsi" w:hAnsiTheme="minorHAnsi"/>
          <w:b/>
          <w:u w:val="single"/>
        </w:rPr>
        <w:t xml:space="preserve">June </w:t>
      </w:r>
      <w:r w:rsidR="00EC1B57">
        <w:rPr>
          <w:rFonts w:asciiTheme="minorHAnsi" w:hAnsiTheme="minorHAnsi"/>
          <w:b/>
          <w:u w:val="single"/>
        </w:rPr>
        <w:t>21</w:t>
      </w:r>
      <w:r w:rsidR="00357CA0" w:rsidRPr="00357CA0">
        <w:rPr>
          <w:rFonts w:asciiTheme="minorHAnsi" w:hAnsiTheme="minorHAnsi"/>
          <w:b/>
          <w:u w:val="single"/>
        </w:rPr>
        <w:t>, 2013</w:t>
      </w:r>
      <w:r w:rsidR="00357CA0">
        <w:rPr>
          <w:rFonts w:asciiTheme="minorHAnsi" w:hAnsiTheme="minorHAnsi"/>
        </w:rPr>
        <w:t xml:space="preserve">. </w:t>
      </w:r>
    </w:p>
    <w:p w:rsidR="006639AC" w:rsidRDefault="006639AC" w:rsidP="00003579">
      <w:pPr>
        <w:pStyle w:val="StyleTimesNewRomanAfter4pt"/>
        <w:tabs>
          <w:tab w:val="left" w:pos="720"/>
        </w:tabs>
        <w:ind w:firstLine="0"/>
        <w:rPr>
          <w:rFonts w:asciiTheme="minorHAnsi" w:hAnsiTheme="minorHAnsi"/>
        </w:rPr>
      </w:pPr>
      <w:r>
        <w:rPr>
          <w:rFonts w:asciiTheme="minorHAnsi" w:hAnsiTheme="minorHAnsi"/>
        </w:rPr>
        <w:t xml:space="preserve">The </w:t>
      </w:r>
      <w:r w:rsidR="00AC61C9">
        <w:rPr>
          <w:rFonts w:asciiTheme="minorHAnsi" w:hAnsiTheme="minorHAnsi"/>
        </w:rPr>
        <w:t>b</w:t>
      </w:r>
      <w:r w:rsidRPr="006639AC">
        <w:rPr>
          <w:rFonts w:asciiTheme="minorHAnsi" w:hAnsiTheme="minorHAnsi"/>
        </w:rPr>
        <w:t xml:space="preserve">ase </w:t>
      </w:r>
      <w:r w:rsidR="00AC61C9">
        <w:rPr>
          <w:rFonts w:asciiTheme="minorHAnsi" w:hAnsiTheme="minorHAnsi"/>
        </w:rPr>
        <w:t>b</w:t>
      </w:r>
      <w:r w:rsidRPr="006639AC">
        <w:rPr>
          <w:rFonts w:asciiTheme="minorHAnsi" w:hAnsiTheme="minorHAnsi"/>
        </w:rPr>
        <w:t xml:space="preserve">udget </w:t>
      </w:r>
      <w:r>
        <w:rPr>
          <w:rFonts w:asciiTheme="minorHAnsi" w:hAnsiTheme="minorHAnsi"/>
        </w:rPr>
        <w:t>submission</w:t>
      </w:r>
      <w:r w:rsidRPr="006639AC">
        <w:rPr>
          <w:rFonts w:asciiTheme="minorHAnsi" w:hAnsiTheme="minorHAnsi"/>
        </w:rPr>
        <w:t xml:space="preserve"> captures the line item dollar and position details which </w:t>
      </w:r>
      <w:r>
        <w:rPr>
          <w:rFonts w:asciiTheme="minorHAnsi" w:hAnsiTheme="minorHAnsi"/>
        </w:rPr>
        <w:t xml:space="preserve">will </w:t>
      </w:r>
      <w:r w:rsidRPr="006639AC">
        <w:rPr>
          <w:rFonts w:asciiTheme="minorHAnsi" w:hAnsiTheme="minorHAnsi"/>
        </w:rPr>
        <w:t xml:space="preserve">become the starting point for </w:t>
      </w:r>
      <w:r>
        <w:rPr>
          <w:rFonts w:asciiTheme="minorHAnsi" w:hAnsiTheme="minorHAnsi"/>
        </w:rPr>
        <w:t xml:space="preserve">2014-2016 </w:t>
      </w:r>
      <w:r w:rsidRPr="006639AC">
        <w:rPr>
          <w:rFonts w:asciiTheme="minorHAnsi" w:hAnsiTheme="minorHAnsi"/>
        </w:rPr>
        <w:t>biennial appropriations</w:t>
      </w:r>
      <w:r>
        <w:rPr>
          <w:rFonts w:asciiTheme="minorHAnsi" w:hAnsiTheme="minorHAnsi"/>
        </w:rPr>
        <w:t>. DPB</w:t>
      </w:r>
      <w:r w:rsidR="00AC61C9">
        <w:rPr>
          <w:rFonts w:asciiTheme="minorHAnsi" w:hAnsiTheme="minorHAnsi"/>
        </w:rPr>
        <w:t xml:space="preserve"> has created b</w:t>
      </w:r>
      <w:r>
        <w:rPr>
          <w:rFonts w:asciiTheme="minorHAnsi" w:hAnsiTheme="minorHAnsi"/>
        </w:rPr>
        <w:t xml:space="preserve">ase </w:t>
      </w:r>
      <w:r w:rsidR="00AC61C9">
        <w:rPr>
          <w:rFonts w:asciiTheme="minorHAnsi" w:hAnsiTheme="minorHAnsi"/>
        </w:rPr>
        <w:t>b</w:t>
      </w:r>
      <w:r>
        <w:rPr>
          <w:rFonts w:asciiTheme="minorHAnsi" w:hAnsiTheme="minorHAnsi"/>
        </w:rPr>
        <w:t xml:space="preserve">udget targets in the Performance Budgeting System against which you will spread line item details by fund detail and subobject.  </w:t>
      </w:r>
      <w:r w:rsidRPr="006639AC">
        <w:rPr>
          <w:rFonts w:asciiTheme="minorHAnsi" w:hAnsiTheme="minorHAnsi"/>
        </w:rPr>
        <w:t xml:space="preserve">The base budget submission is technical in nature and must </w:t>
      </w:r>
      <w:r>
        <w:rPr>
          <w:rFonts w:asciiTheme="minorHAnsi" w:hAnsiTheme="minorHAnsi"/>
        </w:rPr>
        <w:t xml:space="preserve">total to the targets created by DPB.  These targets are </w:t>
      </w:r>
      <w:r w:rsidRPr="006639AC">
        <w:rPr>
          <w:rFonts w:asciiTheme="minorHAnsi" w:hAnsiTheme="minorHAnsi"/>
        </w:rPr>
        <w:t xml:space="preserve">equal </w:t>
      </w:r>
      <w:r>
        <w:rPr>
          <w:rFonts w:asciiTheme="minorHAnsi" w:hAnsiTheme="minorHAnsi"/>
        </w:rPr>
        <w:t xml:space="preserve">to </w:t>
      </w:r>
      <w:r w:rsidRPr="006639AC">
        <w:rPr>
          <w:rFonts w:asciiTheme="minorHAnsi" w:hAnsiTheme="minorHAnsi"/>
        </w:rPr>
        <w:t xml:space="preserve">FY 2014 </w:t>
      </w:r>
      <w:r>
        <w:rPr>
          <w:rFonts w:asciiTheme="minorHAnsi" w:hAnsiTheme="minorHAnsi"/>
        </w:rPr>
        <w:t xml:space="preserve">appropriations </w:t>
      </w:r>
      <w:r w:rsidRPr="006639AC">
        <w:rPr>
          <w:rFonts w:asciiTheme="minorHAnsi" w:hAnsiTheme="minorHAnsi"/>
        </w:rPr>
        <w:t xml:space="preserve">in Chapter </w:t>
      </w:r>
      <w:r w:rsidR="00A61DF5">
        <w:rPr>
          <w:rFonts w:asciiTheme="minorHAnsi" w:hAnsiTheme="minorHAnsi"/>
        </w:rPr>
        <w:t>806</w:t>
      </w:r>
      <w:r w:rsidRPr="006639AC">
        <w:rPr>
          <w:rFonts w:asciiTheme="minorHAnsi" w:hAnsiTheme="minorHAnsi"/>
        </w:rPr>
        <w:t>, 2013 Virginia Acts of Assembly</w:t>
      </w:r>
      <w:r w:rsidRPr="006770B1">
        <w:rPr>
          <w:rFonts w:asciiTheme="minorHAnsi" w:hAnsiTheme="minorHAnsi"/>
        </w:rPr>
        <w:t xml:space="preserve">.  </w:t>
      </w:r>
      <w:r w:rsidR="009918F6" w:rsidRPr="006770B1">
        <w:rPr>
          <w:rFonts w:asciiTheme="minorHAnsi" w:hAnsiTheme="minorHAnsi"/>
        </w:rPr>
        <w:t>(</w:t>
      </w:r>
      <w:r w:rsidR="00AC61C9" w:rsidRPr="006770B1">
        <w:rPr>
          <w:rFonts w:asciiTheme="minorHAnsi" w:hAnsiTheme="minorHAnsi"/>
        </w:rPr>
        <w:t>A detailed listing of b</w:t>
      </w:r>
      <w:r w:rsidR="009918F6" w:rsidRPr="006770B1">
        <w:rPr>
          <w:rFonts w:asciiTheme="minorHAnsi" w:hAnsiTheme="minorHAnsi"/>
        </w:rPr>
        <w:t xml:space="preserve">ase </w:t>
      </w:r>
      <w:r w:rsidR="00AC61C9" w:rsidRPr="006770B1">
        <w:rPr>
          <w:rFonts w:asciiTheme="minorHAnsi" w:hAnsiTheme="minorHAnsi"/>
        </w:rPr>
        <w:t>b</w:t>
      </w:r>
      <w:r w:rsidR="009918F6" w:rsidRPr="006770B1">
        <w:rPr>
          <w:rFonts w:asciiTheme="minorHAnsi" w:hAnsiTheme="minorHAnsi"/>
        </w:rPr>
        <w:t xml:space="preserve">udget targets </w:t>
      </w:r>
      <w:r w:rsidR="007A7348" w:rsidRPr="006770B1">
        <w:rPr>
          <w:rFonts w:asciiTheme="minorHAnsi" w:hAnsiTheme="minorHAnsi"/>
        </w:rPr>
        <w:t>is</w:t>
      </w:r>
      <w:r w:rsidR="009918F6" w:rsidRPr="006770B1">
        <w:rPr>
          <w:rFonts w:asciiTheme="minorHAnsi" w:hAnsiTheme="minorHAnsi"/>
        </w:rPr>
        <w:t xml:space="preserve"> available on the DPB Website.)</w:t>
      </w:r>
      <w:r w:rsidR="009918F6">
        <w:rPr>
          <w:rFonts w:asciiTheme="minorHAnsi" w:hAnsiTheme="minorHAnsi"/>
        </w:rPr>
        <w:t xml:space="preserve">  </w:t>
      </w:r>
      <w:r w:rsidR="00AC61C9">
        <w:rPr>
          <w:rFonts w:asciiTheme="minorHAnsi" w:hAnsiTheme="minorHAnsi"/>
        </w:rPr>
        <w:t>You will use the b</w:t>
      </w:r>
      <w:r>
        <w:rPr>
          <w:rFonts w:asciiTheme="minorHAnsi" w:hAnsiTheme="minorHAnsi"/>
        </w:rPr>
        <w:t xml:space="preserve">ase </w:t>
      </w:r>
      <w:r w:rsidR="00AC61C9">
        <w:rPr>
          <w:rFonts w:asciiTheme="minorHAnsi" w:hAnsiTheme="minorHAnsi"/>
        </w:rPr>
        <w:t>b</w:t>
      </w:r>
      <w:r>
        <w:rPr>
          <w:rFonts w:asciiTheme="minorHAnsi" w:hAnsiTheme="minorHAnsi"/>
        </w:rPr>
        <w:t xml:space="preserve">udget module in the Performance Budgeting System to create your </w:t>
      </w:r>
      <w:r w:rsidR="00AC61C9">
        <w:rPr>
          <w:rFonts w:asciiTheme="minorHAnsi" w:hAnsiTheme="minorHAnsi"/>
        </w:rPr>
        <w:t>b</w:t>
      </w:r>
      <w:r>
        <w:rPr>
          <w:rFonts w:asciiTheme="minorHAnsi" w:hAnsiTheme="minorHAnsi"/>
        </w:rPr>
        <w:t xml:space="preserve">ase </w:t>
      </w:r>
      <w:r w:rsidR="00AC61C9">
        <w:rPr>
          <w:rFonts w:asciiTheme="minorHAnsi" w:hAnsiTheme="minorHAnsi"/>
        </w:rPr>
        <w:t>b</w:t>
      </w:r>
      <w:r>
        <w:rPr>
          <w:rFonts w:asciiTheme="minorHAnsi" w:hAnsiTheme="minorHAnsi"/>
        </w:rPr>
        <w:t xml:space="preserve">udget submission.  See </w:t>
      </w:r>
      <w:r w:rsidRPr="00624CF8">
        <w:rPr>
          <w:rFonts w:asciiTheme="minorHAnsi" w:hAnsiTheme="minorHAnsi"/>
        </w:rPr>
        <w:t xml:space="preserve">Appendix </w:t>
      </w:r>
      <w:r w:rsidR="00F22E92" w:rsidRPr="00624CF8">
        <w:rPr>
          <w:rFonts w:asciiTheme="minorHAnsi" w:hAnsiTheme="minorHAnsi"/>
        </w:rPr>
        <w:t>A</w:t>
      </w:r>
      <w:r>
        <w:rPr>
          <w:rFonts w:asciiTheme="minorHAnsi" w:hAnsiTheme="minorHAnsi"/>
        </w:rPr>
        <w:t xml:space="preserve"> for detailed instructions on this module.</w:t>
      </w:r>
    </w:p>
    <w:p w:rsidR="008A37E4" w:rsidRDefault="006639AC" w:rsidP="008A37E4">
      <w:pPr>
        <w:pStyle w:val="StyleTimesNewRomanAfter4pt"/>
        <w:tabs>
          <w:tab w:val="left" w:pos="720"/>
        </w:tabs>
        <w:ind w:firstLine="0"/>
        <w:rPr>
          <w:rFonts w:asciiTheme="minorHAnsi" w:hAnsiTheme="minorHAnsi"/>
        </w:rPr>
      </w:pPr>
      <w:r w:rsidRPr="006639AC">
        <w:rPr>
          <w:rFonts w:asciiTheme="minorHAnsi" w:hAnsiTheme="minorHAnsi"/>
        </w:rPr>
        <w:t>A</w:t>
      </w:r>
      <w:r w:rsidR="00D31409">
        <w:rPr>
          <w:rFonts w:asciiTheme="minorHAnsi" w:hAnsiTheme="minorHAnsi"/>
        </w:rPr>
        <w:t>s allu</w:t>
      </w:r>
      <w:r w:rsidR="00F60E78">
        <w:rPr>
          <w:rFonts w:asciiTheme="minorHAnsi" w:hAnsiTheme="minorHAnsi"/>
        </w:rPr>
        <w:t>ded to in the opening paragraph</w:t>
      </w:r>
      <w:r w:rsidRPr="006639AC">
        <w:rPr>
          <w:rFonts w:asciiTheme="minorHAnsi" w:hAnsiTheme="minorHAnsi"/>
        </w:rPr>
        <w:t xml:space="preserve">, </w:t>
      </w:r>
      <w:r>
        <w:rPr>
          <w:rFonts w:asciiTheme="minorHAnsi" w:hAnsiTheme="minorHAnsi"/>
        </w:rPr>
        <w:t xml:space="preserve">additional </w:t>
      </w:r>
      <w:r w:rsidRPr="006639AC">
        <w:rPr>
          <w:rFonts w:asciiTheme="minorHAnsi" w:hAnsiTheme="minorHAnsi"/>
        </w:rPr>
        <w:t xml:space="preserve">instructions </w:t>
      </w:r>
      <w:r>
        <w:rPr>
          <w:rFonts w:asciiTheme="minorHAnsi" w:hAnsiTheme="minorHAnsi"/>
        </w:rPr>
        <w:t>will be issued by DPB for changes to your base budget</w:t>
      </w:r>
      <w:r w:rsidR="007A7348">
        <w:rPr>
          <w:rFonts w:asciiTheme="minorHAnsi" w:hAnsiTheme="minorHAnsi"/>
        </w:rPr>
        <w:t>.  These will include required changes</w:t>
      </w:r>
      <w:r>
        <w:rPr>
          <w:rFonts w:asciiTheme="minorHAnsi" w:hAnsiTheme="minorHAnsi"/>
        </w:rPr>
        <w:t xml:space="preserve"> in the form of base adjustments and other changes in the form of technical decision packages and other budget decision package requests. </w:t>
      </w:r>
      <w:bookmarkStart w:id="3" w:name="_Toc179785150"/>
    </w:p>
    <w:p w:rsidR="00FA1D52" w:rsidRDefault="00FA1D52" w:rsidP="00804ED8">
      <w:pPr>
        <w:pStyle w:val="SubHeading"/>
      </w:pPr>
      <w:bookmarkStart w:id="4" w:name="_Toc355338429"/>
      <w:r w:rsidRPr="00FA1D52">
        <w:t>What’s new or different this year?</w:t>
      </w:r>
      <w:bookmarkEnd w:id="4"/>
    </w:p>
    <w:p w:rsidR="00FA1D52" w:rsidRPr="00FA1D52" w:rsidRDefault="00FA1D52" w:rsidP="00417C8B">
      <w:pPr>
        <w:pStyle w:val="StyleTimesNewRomanAfter4pt"/>
        <w:numPr>
          <w:ilvl w:val="0"/>
          <w:numId w:val="22"/>
        </w:numPr>
        <w:tabs>
          <w:tab w:val="left" w:pos="720"/>
        </w:tabs>
        <w:spacing w:before="0" w:after="0"/>
        <w:rPr>
          <w:rFonts w:ascii="Calibri" w:hAnsi="Calibri"/>
          <w:b/>
          <w:bCs/>
          <w:color w:val="4F81BD"/>
          <w:sz w:val="32"/>
          <w:szCs w:val="32"/>
        </w:rPr>
      </w:pPr>
      <w:r w:rsidRPr="00FA1D52">
        <w:rPr>
          <w:rFonts w:asciiTheme="minorHAnsi" w:hAnsiTheme="minorHAnsi"/>
          <w:b/>
        </w:rPr>
        <w:t>Budget calendar</w:t>
      </w:r>
      <w:r>
        <w:rPr>
          <w:rFonts w:asciiTheme="minorHAnsi" w:hAnsiTheme="minorHAnsi"/>
          <w:b/>
        </w:rPr>
        <w:t xml:space="preserve">.  </w:t>
      </w:r>
      <w:r>
        <w:rPr>
          <w:rFonts w:asciiTheme="minorHAnsi" w:hAnsiTheme="minorHAnsi"/>
        </w:rPr>
        <w:t>As you may have noticed, June is a</w:t>
      </w:r>
      <w:r w:rsidR="00D31409">
        <w:rPr>
          <w:rFonts w:asciiTheme="minorHAnsi" w:hAnsiTheme="minorHAnsi"/>
        </w:rPr>
        <w:t>n</w:t>
      </w:r>
      <w:r>
        <w:rPr>
          <w:rFonts w:asciiTheme="minorHAnsi" w:hAnsiTheme="minorHAnsi"/>
        </w:rPr>
        <w:t xml:space="preserve"> earl</w:t>
      </w:r>
      <w:r w:rsidR="002269A5">
        <w:rPr>
          <w:rFonts w:asciiTheme="minorHAnsi" w:hAnsiTheme="minorHAnsi"/>
        </w:rPr>
        <w:t>ier</w:t>
      </w:r>
      <w:r>
        <w:rPr>
          <w:rFonts w:asciiTheme="minorHAnsi" w:hAnsiTheme="minorHAnsi"/>
        </w:rPr>
        <w:t xml:space="preserve"> deadline for base budget submissions </w:t>
      </w:r>
      <w:r w:rsidR="00ED2D57">
        <w:rPr>
          <w:rFonts w:asciiTheme="minorHAnsi" w:hAnsiTheme="minorHAnsi"/>
        </w:rPr>
        <w:t>as</w:t>
      </w:r>
      <w:r>
        <w:rPr>
          <w:rFonts w:asciiTheme="minorHAnsi" w:hAnsiTheme="minorHAnsi"/>
        </w:rPr>
        <w:t xml:space="preserve"> </w:t>
      </w:r>
      <w:r w:rsidR="00ED2D57">
        <w:rPr>
          <w:rFonts w:asciiTheme="minorHAnsi" w:hAnsiTheme="minorHAnsi"/>
        </w:rPr>
        <w:t>compared to</w:t>
      </w:r>
      <w:r>
        <w:rPr>
          <w:rFonts w:asciiTheme="minorHAnsi" w:hAnsiTheme="minorHAnsi"/>
        </w:rPr>
        <w:t xml:space="preserve"> previous years.   </w:t>
      </w:r>
      <w:r w:rsidR="00417C8B">
        <w:rPr>
          <w:rFonts w:asciiTheme="minorHAnsi" w:hAnsiTheme="minorHAnsi"/>
        </w:rPr>
        <w:t>While the due dates for budget development this summer may occur earlier than they have in the past, t</w:t>
      </w:r>
      <w:r>
        <w:rPr>
          <w:rFonts w:asciiTheme="minorHAnsi" w:hAnsiTheme="minorHAnsi"/>
        </w:rPr>
        <w:t xml:space="preserve">he new budget development calendar is designed so that there is more time than </w:t>
      </w:r>
      <w:r w:rsidR="00D31409">
        <w:rPr>
          <w:rFonts w:asciiTheme="minorHAnsi" w:hAnsiTheme="minorHAnsi"/>
        </w:rPr>
        <w:t xml:space="preserve">previous years </w:t>
      </w:r>
      <w:r>
        <w:rPr>
          <w:rFonts w:asciiTheme="minorHAnsi" w:hAnsiTheme="minorHAnsi"/>
        </w:rPr>
        <w:t>to get submissions completed.  In addition, the new calendar minimizes the overlap in budget development activities</w:t>
      </w:r>
      <w:r w:rsidR="00980177">
        <w:rPr>
          <w:rFonts w:asciiTheme="minorHAnsi" w:hAnsiTheme="minorHAnsi"/>
        </w:rPr>
        <w:t xml:space="preserve"> as compared to years past</w:t>
      </w:r>
      <w:r>
        <w:rPr>
          <w:rFonts w:asciiTheme="minorHAnsi" w:hAnsiTheme="minorHAnsi"/>
        </w:rPr>
        <w:t>.   For more calendar information, see the “Budget Calendar” section on the next page</w:t>
      </w:r>
      <w:r w:rsidR="00ED2D57">
        <w:rPr>
          <w:rFonts w:asciiTheme="minorHAnsi" w:hAnsiTheme="minorHAnsi"/>
        </w:rPr>
        <w:t>.</w:t>
      </w:r>
    </w:p>
    <w:p w:rsidR="00FA1D52" w:rsidRPr="00417C8B" w:rsidRDefault="00FA1D52" w:rsidP="00417C8B">
      <w:pPr>
        <w:pStyle w:val="StyleTimesNewRomanAfter4pt"/>
        <w:numPr>
          <w:ilvl w:val="0"/>
          <w:numId w:val="22"/>
        </w:numPr>
        <w:tabs>
          <w:tab w:val="left" w:pos="720"/>
        </w:tabs>
        <w:spacing w:before="0"/>
        <w:rPr>
          <w:rFonts w:ascii="Calibri" w:hAnsi="Calibri"/>
          <w:b/>
          <w:bCs/>
          <w:color w:val="4F81BD"/>
          <w:sz w:val="32"/>
          <w:szCs w:val="32"/>
        </w:rPr>
      </w:pPr>
      <w:r>
        <w:rPr>
          <w:rFonts w:asciiTheme="minorHAnsi" w:hAnsiTheme="minorHAnsi"/>
          <w:b/>
        </w:rPr>
        <w:t>Linking to Strategic Plan</w:t>
      </w:r>
      <w:r w:rsidR="00417C8B">
        <w:rPr>
          <w:rFonts w:asciiTheme="minorHAnsi" w:hAnsiTheme="minorHAnsi"/>
          <w:b/>
        </w:rPr>
        <w:t>s</w:t>
      </w:r>
      <w:r>
        <w:rPr>
          <w:rFonts w:asciiTheme="minorHAnsi" w:hAnsiTheme="minorHAnsi"/>
          <w:b/>
        </w:rPr>
        <w:t xml:space="preserve">.  </w:t>
      </w:r>
      <w:r w:rsidRPr="00FA1D52">
        <w:rPr>
          <w:rFonts w:asciiTheme="minorHAnsi" w:hAnsiTheme="minorHAnsi"/>
        </w:rPr>
        <w:t>A new requirement i</w:t>
      </w:r>
      <w:r w:rsidR="00AC61C9">
        <w:rPr>
          <w:rFonts w:asciiTheme="minorHAnsi" w:hAnsiTheme="minorHAnsi"/>
        </w:rPr>
        <w:t xml:space="preserve">n the </w:t>
      </w:r>
      <w:r w:rsidR="00D31409">
        <w:rPr>
          <w:rFonts w:asciiTheme="minorHAnsi" w:hAnsiTheme="minorHAnsi"/>
        </w:rPr>
        <w:t xml:space="preserve">Performance Budgeting System’s </w:t>
      </w:r>
      <w:r w:rsidR="00AC61C9">
        <w:rPr>
          <w:rFonts w:asciiTheme="minorHAnsi" w:hAnsiTheme="minorHAnsi"/>
        </w:rPr>
        <w:t>b</w:t>
      </w:r>
      <w:r w:rsidR="00417C8B">
        <w:rPr>
          <w:rFonts w:asciiTheme="minorHAnsi" w:hAnsiTheme="minorHAnsi"/>
        </w:rPr>
        <w:t xml:space="preserve">ase </w:t>
      </w:r>
      <w:r w:rsidR="00AC61C9">
        <w:rPr>
          <w:rFonts w:asciiTheme="minorHAnsi" w:hAnsiTheme="minorHAnsi"/>
        </w:rPr>
        <w:t>b</w:t>
      </w:r>
      <w:r w:rsidR="00417C8B">
        <w:rPr>
          <w:rFonts w:asciiTheme="minorHAnsi" w:hAnsiTheme="minorHAnsi"/>
        </w:rPr>
        <w:t>udget module for agencies that participate in strategic planning is to allocate agency service area budgets to strategic plan performance measures or objectives. For more information, see the “Strategic Link” section of these instructions.</w:t>
      </w:r>
    </w:p>
    <w:p w:rsidR="00417C8B" w:rsidRDefault="00417C8B" w:rsidP="00804ED8">
      <w:pPr>
        <w:pStyle w:val="SubHeading"/>
      </w:pPr>
      <w:bookmarkStart w:id="5" w:name="_Toc355338430"/>
      <w:r>
        <w:t>Things to Consider</w:t>
      </w:r>
      <w:bookmarkEnd w:id="5"/>
    </w:p>
    <w:p w:rsidR="002224D4" w:rsidRDefault="001205F1" w:rsidP="00417C8B">
      <w:pPr>
        <w:pStyle w:val="StyleTimesNewRomanAfter4pt"/>
        <w:tabs>
          <w:tab w:val="left" w:pos="720"/>
        </w:tabs>
        <w:spacing w:before="0"/>
        <w:ind w:firstLine="0"/>
        <w:rPr>
          <w:rFonts w:asciiTheme="minorHAnsi" w:hAnsiTheme="minorHAnsi"/>
        </w:rPr>
      </w:pPr>
      <w:r w:rsidRPr="006639AC">
        <w:rPr>
          <w:rFonts w:asciiTheme="minorHAnsi" w:hAnsiTheme="minorHAnsi"/>
        </w:rPr>
        <w:t>A</w:t>
      </w:r>
      <w:r w:rsidR="00EC6786">
        <w:rPr>
          <w:rFonts w:asciiTheme="minorHAnsi" w:hAnsiTheme="minorHAnsi"/>
        </w:rPr>
        <w:t>s</w:t>
      </w:r>
      <w:r w:rsidR="00AC61C9">
        <w:rPr>
          <w:rFonts w:asciiTheme="minorHAnsi" w:hAnsiTheme="minorHAnsi"/>
        </w:rPr>
        <w:t xml:space="preserve"> you prepare your b</w:t>
      </w:r>
      <w:r w:rsidR="00EC6786">
        <w:rPr>
          <w:rFonts w:asciiTheme="minorHAnsi" w:hAnsiTheme="minorHAnsi"/>
        </w:rPr>
        <w:t xml:space="preserve">ase </w:t>
      </w:r>
      <w:r w:rsidR="00AC61C9">
        <w:rPr>
          <w:rFonts w:asciiTheme="minorHAnsi" w:hAnsiTheme="minorHAnsi"/>
        </w:rPr>
        <w:t>b</w:t>
      </w:r>
      <w:r w:rsidR="00EC6786">
        <w:rPr>
          <w:rFonts w:asciiTheme="minorHAnsi" w:hAnsiTheme="minorHAnsi"/>
        </w:rPr>
        <w:t xml:space="preserve">udget submission, </w:t>
      </w:r>
      <w:r w:rsidR="00760D29">
        <w:rPr>
          <w:rFonts w:asciiTheme="minorHAnsi" w:hAnsiTheme="minorHAnsi"/>
        </w:rPr>
        <w:t>you should</w:t>
      </w:r>
      <w:r w:rsidR="00EC6786">
        <w:rPr>
          <w:rFonts w:asciiTheme="minorHAnsi" w:hAnsiTheme="minorHAnsi"/>
        </w:rPr>
        <w:t xml:space="preserve"> “clean up” </w:t>
      </w:r>
      <w:r w:rsidR="002224D4">
        <w:rPr>
          <w:rFonts w:asciiTheme="minorHAnsi" w:hAnsiTheme="minorHAnsi"/>
        </w:rPr>
        <w:t>any unnecessary</w:t>
      </w:r>
      <w:r w:rsidR="00EC6786">
        <w:rPr>
          <w:rFonts w:asciiTheme="minorHAnsi" w:hAnsiTheme="minorHAnsi"/>
        </w:rPr>
        <w:t xml:space="preserve"> detail in the submission.  For example, if you have several detail records for a specific service area and fund combination that </w:t>
      </w:r>
      <w:r w:rsidR="00D31409">
        <w:rPr>
          <w:rFonts w:asciiTheme="minorHAnsi" w:hAnsiTheme="minorHAnsi"/>
        </w:rPr>
        <w:t xml:space="preserve">sum to zero </w:t>
      </w:r>
      <w:r w:rsidR="00EC6786">
        <w:rPr>
          <w:rFonts w:asciiTheme="minorHAnsi" w:hAnsiTheme="minorHAnsi"/>
        </w:rPr>
        <w:t xml:space="preserve">when added together, please consider removing this detail (excluding </w:t>
      </w:r>
      <w:r w:rsidR="002224D4">
        <w:rPr>
          <w:rFonts w:asciiTheme="minorHAnsi" w:hAnsiTheme="minorHAnsi"/>
        </w:rPr>
        <w:t xml:space="preserve">details for sum sufficient appropriations).  </w:t>
      </w:r>
    </w:p>
    <w:p w:rsidR="00954646" w:rsidRDefault="002224D4" w:rsidP="00417C8B">
      <w:pPr>
        <w:pStyle w:val="StyleTimesNewRomanAfter4pt"/>
        <w:tabs>
          <w:tab w:val="left" w:pos="720"/>
        </w:tabs>
        <w:spacing w:before="0"/>
        <w:ind w:firstLine="0"/>
        <w:rPr>
          <w:rFonts w:asciiTheme="minorHAnsi" w:hAnsiTheme="minorHAnsi"/>
        </w:rPr>
      </w:pPr>
      <w:r>
        <w:rPr>
          <w:rFonts w:asciiTheme="minorHAnsi" w:hAnsiTheme="minorHAnsi"/>
        </w:rPr>
        <w:t xml:space="preserve">These instructions provide guidelines and requirements for personal services, </w:t>
      </w:r>
      <w:proofErr w:type="spellStart"/>
      <w:r>
        <w:rPr>
          <w:rFonts w:asciiTheme="minorHAnsi" w:hAnsiTheme="minorHAnsi"/>
        </w:rPr>
        <w:t>nonpersonal</w:t>
      </w:r>
      <w:proofErr w:type="spellEnd"/>
      <w:r>
        <w:rPr>
          <w:rFonts w:asciiTheme="minorHAnsi" w:hAnsiTheme="minorHAnsi"/>
        </w:rPr>
        <w:t xml:space="preserve"> services, and sum sufficient appropriations.  Please familiarize yourself with these instructions and th</w:t>
      </w:r>
      <w:r w:rsidR="00AC61C9">
        <w:rPr>
          <w:rFonts w:asciiTheme="minorHAnsi" w:hAnsiTheme="minorHAnsi"/>
        </w:rPr>
        <w:t>e Performance Budgeting System b</w:t>
      </w:r>
      <w:r>
        <w:rPr>
          <w:rFonts w:asciiTheme="minorHAnsi" w:hAnsiTheme="minorHAnsi"/>
        </w:rPr>
        <w:t xml:space="preserve">ase </w:t>
      </w:r>
      <w:r w:rsidR="00AC61C9">
        <w:rPr>
          <w:rFonts w:asciiTheme="minorHAnsi" w:hAnsiTheme="minorHAnsi"/>
        </w:rPr>
        <w:t>b</w:t>
      </w:r>
      <w:r>
        <w:rPr>
          <w:rFonts w:asciiTheme="minorHAnsi" w:hAnsiTheme="minorHAnsi"/>
        </w:rPr>
        <w:t xml:space="preserve">udget module instructions included in </w:t>
      </w:r>
      <w:r w:rsidRPr="00624CF8">
        <w:rPr>
          <w:rFonts w:asciiTheme="minorHAnsi" w:hAnsiTheme="minorHAnsi"/>
        </w:rPr>
        <w:t>Appendix</w:t>
      </w:r>
      <w:r w:rsidR="00F22E92" w:rsidRPr="00624CF8">
        <w:rPr>
          <w:rFonts w:asciiTheme="minorHAnsi" w:hAnsiTheme="minorHAnsi"/>
        </w:rPr>
        <w:t xml:space="preserve"> </w:t>
      </w:r>
      <w:proofErr w:type="gramStart"/>
      <w:r w:rsidR="00F22E92" w:rsidRPr="00624CF8">
        <w:rPr>
          <w:rFonts w:asciiTheme="minorHAnsi" w:hAnsiTheme="minorHAnsi"/>
        </w:rPr>
        <w:t>A</w:t>
      </w:r>
      <w:proofErr w:type="gramEnd"/>
      <w:r>
        <w:rPr>
          <w:rFonts w:asciiTheme="minorHAnsi" w:hAnsiTheme="minorHAnsi"/>
        </w:rPr>
        <w:t xml:space="preserve"> prior to beginning your submission. </w:t>
      </w:r>
    </w:p>
    <w:p w:rsidR="002224D4" w:rsidRDefault="00954646" w:rsidP="00714C3C">
      <w:pPr>
        <w:pStyle w:val="Heading1"/>
        <w:spacing w:before="0" w:beforeAutospacing="0" w:after="0" w:afterAutospacing="0"/>
        <w:rPr>
          <w:rFonts w:ascii="Calibri" w:hAnsi="Calibri"/>
          <w:color w:val="4F81BD"/>
          <w:kern w:val="0"/>
        </w:rPr>
      </w:pPr>
      <w:r w:rsidRPr="00954646">
        <w:rPr>
          <w:rFonts w:asciiTheme="minorHAnsi" w:hAnsiTheme="minorHAnsi"/>
          <w:b w:val="0"/>
          <w:bCs w:val="0"/>
          <w:kern w:val="0"/>
          <w:sz w:val="24"/>
          <w:szCs w:val="20"/>
        </w:rPr>
        <w:t xml:space="preserve">Please contact your DPB budget analyst with any questions or concerns.  </w:t>
      </w:r>
    </w:p>
    <w:p w:rsidR="00003579" w:rsidRDefault="005D67BC" w:rsidP="00804ED8">
      <w:pPr>
        <w:pStyle w:val="MyHeading"/>
      </w:pPr>
      <w:bookmarkStart w:id="6" w:name="_Toc355338431"/>
      <w:r>
        <w:lastRenderedPageBreak/>
        <w:t>Budget</w:t>
      </w:r>
      <w:r w:rsidR="00003579" w:rsidRPr="005D67BC">
        <w:t xml:space="preserve"> </w:t>
      </w:r>
      <w:r>
        <w:t>C</w:t>
      </w:r>
      <w:r w:rsidR="00003579" w:rsidRPr="005D67BC">
        <w:t>alendar</w:t>
      </w:r>
      <w:bookmarkEnd w:id="3"/>
      <w:bookmarkEnd w:id="6"/>
    </w:p>
    <w:p w:rsidR="005D67BC" w:rsidRPr="00714C3C" w:rsidRDefault="00273233" w:rsidP="005D67BC">
      <w:pPr>
        <w:pStyle w:val="HelpTopic"/>
        <w:spacing w:before="0" w:after="0"/>
        <w:jc w:val="center"/>
        <w:rPr>
          <w:sz w:val="16"/>
          <w:szCs w:val="16"/>
        </w:rPr>
      </w:pPr>
      <w:r w:rsidRPr="00273233">
        <w:rPr>
          <w:rFonts w:asciiTheme="majorHAnsi" w:hAnsiTheme="majorHAnsi"/>
          <w:sz w:val="16"/>
          <w:szCs w:val="16"/>
        </w:rPr>
        <w:pict>
          <v:rect id="_x0000_i1027" style="width:468pt;height:1.5pt" o:hralign="center" o:hrstd="t" o:hr="t" fillcolor="#a0a0a0" stroked="f"/>
        </w:pict>
      </w:r>
    </w:p>
    <w:p w:rsidR="00003579" w:rsidRDefault="00003579" w:rsidP="00714C3C">
      <w:pPr>
        <w:pStyle w:val="StyleTimesNewRomanAfter4pt"/>
        <w:tabs>
          <w:tab w:val="left" w:pos="720"/>
        </w:tabs>
        <w:spacing w:before="0" w:after="0"/>
        <w:ind w:firstLine="0"/>
        <w:rPr>
          <w:rFonts w:asciiTheme="minorHAnsi" w:hAnsiTheme="minorHAnsi"/>
        </w:rPr>
      </w:pPr>
      <w:r w:rsidRPr="005D67BC">
        <w:rPr>
          <w:rFonts w:asciiTheme="minorHAnsi" w:hAnsiTheme="minorHAnsi"/>
        </w:rPr>
        <w:t xml:space="preserve">Below is a </w:t>
      </w:r>
      <w:r w:rsidR="005D67BC" w:rsidRPr="005D67BC">
        <w:rPr>
          <w:rFonts w:asciiTheme="minorHAnsi" w:hAnsiTheme="minorHAnsi"/>
        </w:rPr>
        <w:t xml:space="preserve">tentative </w:t>
      </w:r>
      <w:r w:rsidRPr="005D67BC">
        <w:rPr>
          <w:rFonts w:asciiTheme="minorHAnsi" w:hAnsiTheme="minorHAnsi"/>
        </w:rPr>
        <w:t xml:space="preserve">calendar </w:t>
      </w:r>
      <w:r w:rsidR="005D67BC" w:rsidRPr="005D67BC">
        <w:rPr>
          <w:rFonts w:asciiTheme="minorHAnsi" w:hAnsiTheme="minorHAnsi"/>
        </w:rPr>
        <w:t xml:space="preserve">for the preparation of the initial </w:t>
      </w:r>
      <w:r w:rsidRPr="005D67BC">
        <w:rPr>
          <w:rFonts w:asciiTheme="minorHAnsi" w:hAnsiTheme="minorHAnsi"/>
        </w:rPr>
        <w:t xml:space="preserve">2014-2016 biennium </w:t>
      </w:r>
      <w:r w:rsidR="005D67BC" w:rsidRPr="005D67BC">
        <w:rPr>
          <w:rFonts w:asciiTheme="minorHAnsi" w:hAnsiTheme="minorHAnsi"/>
        </w:rPr>
        <w:t>budget that will be submitted by the Governor to the General Assembly on December 16, 2013</w:t>
      </w:r>
      <w:r w:rsidRPr="005D67BC">
        <w:rPr>
          <w:rFonts w:asciiTheme="minorHAnsi" w:hAnsiTheme="minorHAnsi"/>
        </w:rPr>
        <w:t xml:space="preserve">: </w:t>
      </w:r>
    </w:p>
    <w:p w:rsidR="00154001" w:rsidRDefault="00B77096" w:rsidP="00714C3C">
      <w:pPr>
        <w:pStyle w:val="StyleTimesNewRomanAfter4pt"/>
        <w:tabs>
          <w:tab w:val="left" w:pos="720"/>
        </w:tabs>
        <w:spacing w:before="60" w:after="0"/>
        <w:ind w:firstLine="0"/>
        <w:rPr>
          <w:rFonts w:asciiTheme="minorHAnsi" w:hAnsiTheme="minorHAnsi"/>
        </w:rPr>
      </w:pPr>
      <w:r>
        <w:rPr>
          <w:rFonts w:asciiTheme="minorHAnsi" w:hAnsiTheme="minorHAnsi"/>
          <w:noProof/>
        </w:rPr>
        <w:drawing>
          <wp:inline distT="0" distB="0" distL="0" distR="0">
            <wp:extent cx="6309360" cy="3765550"/>
            <wp:effectExtent l="19050" t="19050" r="15240" b="25400"/>
            <wp:docPr id="1" name="Picture 0" descr="BudgetCalendarAg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CalendarAgency.png"/>
                    <pic:cNvPicPr/>
                  </pic:nvPicPr>
                  <pic:blipFill>
                    <a:blip r:embed="rId10" cstate="print"/>
                    <a:stretch>
                      <a:fillRect/>
                    </a:stretch>
                  </pic:blipFill>
                  <pic:spPr>
                    <a:xfrm>
                      <a:off x="0" y="0"/>
                      <a:ext cx="6309360" cy="3765550"/>
                    </a:xfrm>
                    <a:prstGeom prst="rect">
                      <a:avLst/>
                    </a:prstGeom>
                    <a:ln>
                      <a:solidFill>
                        <a:schemeClr val="accent1"/>
                      </a:solidFill>
                    </a:ln>
                  </pic:spPr>
                </pic:pic>
              </a:graphicData>
            </a:graphic>
          </wp:inline>
        </w:drawing>
      </w:r>
    </w:p>
    <w:p w:rsidR="009C43A3" w:rsidRPr="009C43A3" w:rsidRDefault="009C43A3" w:rsidP="00346A36">
      <w:pPr>
        <w:pStyle w:val="StyleTimesNewRomanAfter4pt"/>
        <w:tabs>
          <w:tab w:val="left" w:pos="720"/>
        </w:tabs>
        <w:spacing w:before="0"/>
        <w:ind w:firstLine="0"/>
        <w:jc w:val="center"/>
        <w:rPr>
          <w:rFonts w:asciiTheme="minorHAnsi" w:hAnsiTheme="minorHAnsi"/>
          <w:sz w:val="22"/>
          <w:szCs w:val="22"/>
        </w:rPr>
      </w:pPr>
      <w:r w:rsidRPr="009C43A3">
        <w:rPr>
          <w:rFonts w:asciiTheme="minorHAnsi" w:hAnsiTheme="minorHAnsi"/>
          <w:sz w:val="22"/>
          <w:szCs w:val="22"/>
        </w:rPr>
        <w:t>(</w:t>
      </w:r>
      <w:r w:rsidR="00987033">
        <w:rPr>
          <w:rFonts w:asciiTheme="minorHAnsi" w:hAnsiTheme="minorHAnsi"/>
          <w:sz w:val="22"/>
          <w:szCs w:val="22"/>
        </w:rPr>
        <w:t xml:space="preserve">Go </w:t>
      </w:r>
      <w:r w:rsidR="004A3372">
        <w:rPr>
          <w:rFonts w:asciiTheme="minorHAnsi" w:hAnsiTheme="minorHAnsi"/>
          <w:sz w:val="22"/>
          <w:szCs w:val="22"/>
        </w:rPr>
        <w:t xml:space="preserve">to </w:t>
      </w:r>
      <w:hyperlink r:id="rId11" w:history="1">
        <w:r w:rsidR="004A3372" w:rsidRPr="00921CE7">
          <w:rPr>
            <w:rStyle w:val="Hyperlink"/>
            <w:rFonts w:asciiTheme="minorHAnsi" w:hAnsiTheme="minorHAnsi"/>
            <w:sz w:val="22"/>
            <w:szCs w:val="22"/>
          </w:rPr>
          <w:t>http://dpb.virginia.gov/forms/20130426-2/BudgetCalendarAgency.pdf</w:t>
        </w:r>
      </w:hyperlink>
      <w:r w:rsidR="004A3372">
        <w:rPr>
          <w:rFonts w:asciiTheme="minorHAnsi" w:hAnsiTheme="minorHAnsi"/>
          <w:sz w:val="22"/>
          <w:szCs w:val="22"/>
        </w:rPr>
        <w:t xml:space="preserve"> </w:t>
      </w:r>
      <w:r w:rsidRPr="009C43A3">
        <w:rPr>
          <w:rFonts w:asciiTheme="minorHAnsi" w:hAnsiTheme="minorHAnsi"/>
          <w:sz w:val="22"/>
          <w:szCs w:val="22"/>
        </w:rPr>
        <w:t xml:space="preserve">to see </w:t>
      </w:r>
      <w:r w:rsidR="00B007A6">
        <w:rPr>
          <w:rFonts w:asciiTheme="minorHAnsi" w:hAnsiTheme="minorHAnsi"/>
          <w:sz w:val="22"/>
          <w:szCs w:val="22"/>
        </w:rPr>
        <w:t xml:space="preserve">a larger </w:t>
      </w:r>
      <w:r w:rsidRPr="009C43A3">
        <w:rPr>
          <w:rFonts w:asciiTheme="minorHAnsi" w:hAnsiTheme="minorHAnsi"/>
          <w:sz w:val="22"/>
          <w:szCs w:val="22"/>
        </w:rPr>
        <w:t xml:space="preserve">version of the </w:t>
      </w:r>
      <w:r w:rsidR="00B007A6">
        <w:rPr>
          <w:rFonts w:asciiTheme="minorHAnsi" w:hAnsiTheme="minorHAnsi"/>
          <w:sz w:val="22"/>
          <w:szCs w:val="22"/>
        </w:rPr>
        <w:t xml:space="preserve">latest </w:t>
      </w:r>
      <w:r w:rsidRPr="009C43A3">
        <w:rPr>
          <w:rFonts w:asciiTheme="minorHAnsi" w:hAnsiTheme="minorHAnsi"/>
          <w:sz w:val="22"/>
          <w:szCs w:val="22"/>
        </w:rPr>
        <w:t>Budget Calendar on the DPB Web Site)</w:t>
      </w:r>
    </w:p>
    <w:p w:rsidR="008270C0" w:rsidRDefault="008270C0" w:rsidP="005D67BC">
      <w:pPr>
        <w:pStyle w:val="Heading1"/>
        <w:spacing w:before="0" w:beforeAutospacing="0" w:after="0" w:afterAutospacing="0"/>
        <w:rPr>
          <w:rFonts w:ascii="Calibri" w:hAnsi="Calibri"/>
          <w:color w:val="4F81BD"/>
          <w:kern w:val="0"/>
        </w:rPr>
      </w:pPr>
    </w:p>
    <w:p w:rsidR="005D67BC" w:rsidRDefault="005D67BC" w:rsidP="00804ED8">
      <w:pPr>
        <w:pStyle w:val="MyHeading"/>
      </w:pPr>
      <w:bookmarkStart w:id="7" w:name="_Toc355338432"/>
      <w:r w:rsidRPr="005D67BC">
        <w:t>Personal Services</w:t>
      </w:r>
      <w:bookmarkEnd w:id="7"/>
    </w:p>
    <w:p w:rsidR="005D67BC" w:rsidRPr="00003579" w:rsidRDefault="00273233" w:rsidP="005D67BC">
      <w:pPr>
        <w:pStyle w:val="HelpTopic"/>
        <w:spacing w:before="0" w:after="0"/>
        <w:jc w:val="center"/>
        <w:rPr>
          <w:sz w:val="20"/>
          <w:szCs w:val="20"/>
        </w:rPr>
      </w:pPr>
      <w:r w:rsidRPr="00273233">
        <w:rPr>
          <w:rFonts w:asciiTheme="majorHAnsi" w:hAnsiTheme="majorHAnsi"/>
          <w:sz w:val="20"/>
          <w:szCs w:val="20"/>
        </w:rPr>
        <w:pict>
          <v:rect id="_x0000_i1028" style="width:468pt;height:1.5pt" o:hralign="center" o:hrstd="t" o:hr="t" fillcolor="#a0a0a0" stroked="f"/>
        </w:pict>
      </w:r>
    </w:p>
    <w:p w:rsidR="00F160CB" w:rsidRDefault="00F160CB" w:rsidP="00804ED8">
      <w:pPr>
        <w:pStyle w:val="SubHeading"/>
        <w:rPr>
          <w:sz w:val="48"/>
          <w:szCs w:val="48"/>
        </w:rPr>
      </w:pPr>
      <w:bookmarkStart w:id="8" w:name="_Toc355338433"/>
      <w:r>
        <w:t>Vacant Positions</w:t>
      </w:r>
      <w:bookmarkEnd w:id="8"/>
    </w:p>
    <w:p w:rsidR="005D67BC" w:rsidRPr="005D67BC" w:rsidRDefault="005D67BC" w:rsidP="005D67BC">
      <w:pPr>
        <w:pStyle w:val="StyleTimesNewRomanAfter4pt"/>
        <w:tabs>
          <w:tab w:val="left" w:pos="720"/>
        </w:tabs>
        <w:ind w:firstLine="0"/>
        <w:rPr>
          <w:rFonts w:asciiTheme="minorHAnsi" w:hAnsiTheme="minorHAnsi"/>
        </w:rPr>
      </w:pPr>
      <w:r w:rsidRPr="005D67BC">
        <w:rPr>
          <w:rFonts w:asciiTheme="minorHAnsi" w:hAnsiTheme="minorHAnsi"/>
        </w:rPr>
        <w:t xml:space="preserve">For your 2014-2016 base submission, you should not fund 100 percent of your agency’s authorized position level unless you plan to keep filled positions at or near the authorized position level (that is, no vacancies) in FY 2015 and/or FY 2016.  Instead, you should fund a position level that is more consistent with your current filled position level including a reasonable amount for anticipated turnover and vacancy.  To identify the vacancy rate in your agency, you should indicate the number of authorized positions not being funded using subobject 1182 (Unfunded Vacant Positions).  For those positions </w:t>
      </w:r>
      <w:r w:rsidR="002269A5">
        <w:rPr>
          <w:rFonts w:asciiTheme="minorHAnsi" w:hAnsiTheme="minorHAnsi"/>
        </w:rPr>
        <w:t>-</w:t>
      </w:r>
      <w:r w:rsidRPr="005D67BC">
        <w:rPr>
          <w:rFonts w:asciiTheme="minorHAnsi" w:hAnsiTheme="minorHAnsi"/>
        </w:rPr>
        <w:t>that are part of your budgeted amount for turnover and vacancy</w:t>
      </w:r>
      <w:r w:rsidR="002269A5">
        <w:rPr>
          <w:rFonts w:asciiTheme="minorHAnsi" w:hAnsiTheme="minorHAnsi"/>
        </w:rPr>
        <w:t>-</w:t>
      </w:r>
      <w:r w:rsidR="002269A5" w:rsidRPr="005D67BC">
        <w:rPr>
          <w:rFonts w:asciiTheme="minorHAnsi" w:hAnsiTheme="minorHAnsi"/>
        </w:rPr>
        <w:t xml:space="preserve">, </w:t>
      </w:r>
      <w:r w:rsidRPr="005D67BC">
        <w:rPr>
          <w:rFonts w:asciiTheme="minorHAnsi" w:hAnsiTheme="minorHAnsi"/>
        </w:rPr>
        <w:t xml:space="preserve">you should use </w:t>
      </w:r>
      <w:proofErr w:type="spellStart"/>
      <w:r w:rsidRPr="005D67BC">
        <w:rPr>
          <w:rFonts w:asciiTheme="minorHAnsi" w:hAnsiTheme="minorHAnsi"/>
        </w:rPr>
        <w:t>subobjects</w:t>
      </w:r>
      <w:proofErr w:type="spellEnd"/>
      <w:r w:rsidRPr="005D67BC">
        <w:rPr>
          <w:rFonts w:asciiTheme="minorHAnsi" w:hAnsiTheme="minorHAnsi"/>
        </w:rPr>
        <w:t xml:space="preserve"> 1192 (faculty positions) or 1195 (classified positions).  You should indicate the filled authorized position level that you are funding using the usual subject codes that are valid for position numbers (e.g., 1123 and 1124).  </w:t>
      </w:r>
    </w:p>
    <w:p w:rsidR="005D67BC" w:rsidRPr="005D67BC" w:rsidRDefault="005D67BC" w:rsidP="005D67BC">
      <w:pPr>
        <w:rPr>
          <w:rFonts w:eastAsia="Times New Roman" w:cs="Times New Roman"/>
          <w:sz w:val="24"/>
          <w:szCs w:val="20"/>
        </w:rPr>
      </w:pPr>
      <w:r w:rsidRPr="005D67BC">
        <w:rPr>
          <w:rFonts w:eastAsia="Times New Roman" w:cs="Times New Roman"/>
          <w:sz w:val="24"/>
          <w:szCs w:val="20"/>
        </w:rPr>
        <w:lastRenderedPageBreak/>
        <w:t xml:space="preserve">Your total authorized position level in your base submission should still match the position totals as shown in </w:t>
      </w:r>
      <w:r w:rsidR="00383033">
        <w:rPr>
          <w:rFonts w:eastAsia="Times New Roman" w:cs="Times New Roman"/>
          <w:sz w:val="24"/>
          <w:szCs w:val="20"/>
        </w:rPr>
        <w:t xml:space="preserve">FY 2014 of </w:t>
      </w:r>
      <w:r w:rsidRPr="00F22E92">
        <w:rPr>
          <w:rFonts w:eastAsia="Times New Roman" w:cs="Times New Roman"/>
          <w:sz w:val="24"/>
          <w:szCs w:val="20"/>
        </w:rPr>
        <w:t xml:space="preserve">Chapter </w:t>
      </w:r>
      <w:r w:rsidR="00A61DF5">
        <w:rPr>
          <w:rFonts w:eastAsia="Times New Roman" w:cs="Times New Roman"/>
          <w:sz w:val="24"/>
          <w:szCs w:val="20"/>
        </w:rPr>
        <w:t>806</w:t>
      </w:r>
      <w:r w:rsidRPr="00F22E92">
        <w:rPr>
          <w:rFonts w:eastAsia="Times New Roman" w:cs="Times New Roman"/>
          <w:sz w:val="24"/>
          <w:szCs w:val="20"/>
        </w:rPr>
        <w:t>,</w:t>
      </w:r>
      <w:r w:rsidRPr="005D67BC">
        <w:rPr>
          <w:rFonts w:eastAsia="Times New Roman" w:cs="Times New Roman"/>
          <w:sz w:val="24"/>
          <w:szCs w:val="20"/>
        </w:rPr>
        <w:t xml:space="preserve"> but the subobject detail for these authorized positions will break them out by </w:t>
      </w:r>
      <w:r w:rsidR="000D44DC">
        <w:rPr>
          <w:rFonts w:eastAsia="Times New Roman" w:cs="Times New Roman"/>
          <w:sz w:val="24"/>
          <w:szCs w:val="20"/>
        </w:rPr>
        <w:t xml:space="preserve">those </w:t>
      </w:r>
      <w:r w:rsidRPr="005D67BC">
        <w:rPr>
          <w:rFonts w:eastAsia="Times New Roman" w:cs="Times New Roman"/>
          <w:sz w:val="24"/>
          <w:szCs w:val="20"/>
        </w:rPr>
        <w:t xml:space="preserve">you are funding in the submission versus </w:t>
      </w:r>
      <w:r w:rsidR="000D44DC">
        <w:rPr>
          <w:rFonts w:eastAsia="Times New Roman" w:cs="Times New Roman"/>
          <w:sz w:val="24"/>
          <w:szCs w:val="20"/>
        </w:rPr>
        <w:t xml:space="preserve">those </w:t>
      </w:r>
      <w:r w:rsidRPr="005D67BC">
        <w:rPr>
          <w:rFonts w:eastAsia="Times New Roman" w:cs="Times New Roman"/>
          <w:sz w:val="24"/>
          <w:szCs w:val="20"/>
        </w:rPr>
        <w:t xml:space="preserve">you are not funding.  For example, assume an agency that has 50 authorized positions </w:t>
      </w:r>
      <w:r w:rsidRPr="00F22E92">
        <w:rPr>
          <w:rFonts w:eastAsia="Times New Roman" w:cs="Times New Roman"/>
          <w:sz w:val="24"/>
          <w:szCs w:val="20"/>
        </w:rPr>
        <w:t xml:space="preserve">in </w:t>
      </w:r>
      <w:r w:rsidR="000553DC">
        <w:rPr>
          <w:rFonts w:eastAsia="Times New Roman" w:cs="Times New Roman"/>
          <w:sz w:val="24"/>
          <w:szCs w:val="20"/>
        </w:rPr>
        <w:t xml:space="preserve">FY 2014 of </w:t>
      </w:r>
      <w:r w:rsidRPr="00F22E92">
        <w:rPr>
          <w:rFonts w:eastAsia="Times New Roman" w:cs="Times New Roman"/>
          <w:sz w:val="24"/>
          <w:szCs w:val="20"/>
        </w:rPr>
        <w:t xml:space="preserve">Chapter </w:t>
      </w:r>
      <w:r w:rsidR="00A61DF5">
        <w:rPr>
          <w:rFonts w:eastAsia="Times New Roman" w:cs="Times New Roman"/>
          <w:sz w:val="24"/>
          <w:szCs w:val="20"/>
        </w:rPr>
        <w:t>806</w:t>
      </w:r>
      <w:r w:rsidR="00A61DF5" w:rsidRPr="005D67BC">
        <w:rPr>
          <w:rFonts w:eastAsia="Times New Roman" w:cs="Times New Roman"/>
          <w:sz w:val="24"/>
          <w:szCs w:val="20"/>
        </w:rPr>
        <w:t xml:space="preserve"> </w:t>
      </w:r>
      <w:r w:rsidRPr="005D67BC">
        <w:rPr>
          <w:rFonts w:eastAsia="Times New Roman" w:cs="Times New Roman"/>
          <w:sz w:val="24"/>
          <w:szCs w:val="20"/>
        </w:rPr>
        <w:t xml:space="preserve">and plans to fund 40 positions with a reasonable vacancy rate of five positions.  This agency would then budget 40 positions on typical salary </w:t>
      </w:r>
      <w:proofErr w:type="spellStart"/>
      <w:r w:rsidRPr="005D67BC">
        <w:rPr>
          <w:rFonts w:eastAsia="Times New Roman" w:cs="Times New Roman"/>
          <w:sz w:val="24"/>
          <w:szCs w:val="20"/>
        </w:rPr>
        <w:t>subobjects</w:t>
      </w:r>
      <w:proofErr w:type="spellEnd"/>
      <w:r w:rsidRPr="005D67BC">
        <w:rPr>
          <w:rFonts w:eastAsia="Times New Roman" w:cs="Times New Roman"/>
          <w:sz w:val="24"/>
          <w:szCs w:val="20"/>
        </w:rPr>
        <w:t xml:space="preserve"> (1123, 1124, etc.), five positions on 1195 (classified positions turnover and vacancy) or 1192 (faculty positions), and the remaining five on 1182 (Unfunded Vacant Positions).  </w:t>
      </w:r>
    </w:p>
    <w:p w:rsidR="00F160CB" w:rsidRDefault="00F160CB" w:rsidP="00804ED8">
      <w:pPr>
        <w:pStyle w:val="SubHeading"/>
        <w:rPr>
          <w:rFonts w:asciiTheme="minorHAnsi" w:hAnsiTheme="minorHAnsi"/>
        </w:rPr>
      </w:pPr>
      <w:bookmarkStart w:id="9" w:name="_Toc355338434"/>
      <w:r>
        <w:t>Vacancy Savings</w:t>
      </w:r>
      <w:bookmarkEnd w:id="9"/>
    </w:p>
    <w:p w:rsidR="005D67BC" w:rsidRPr="002F2C53" w:rsidRDefault="005D67BC" w:rsidP="005D67BC">
      <w:pPr>
        <w:pStyle w:val="StyleTimesNewRomanAfter4pt"/>
        <w:ind w:firstLine="0"/>
        <w:rPr>
          <w:rFonts w:asciiTheme="minorHAnsi" w:hAnsiTheme="minorHAnsi"/>
        </w:rPr>
      </w:pPr>
      <w:r w:rsidRPr="002F2C53">
        <w:rPr>
          <w:rFonts w:asciiTheme="minorHAnsi" w:hAnsiTheme="minorHAnsi"/>
        </w:rPr>
        <w:t xml:space="preserve">If your base submission </w:t>
      </w:r>
      <w:r w:rsidR="002F2C53" w:rsidRPr="002F2C53">
        <w:rPr>
          <w:rFonts w:asciiTheme="minorHAnsi" w:hAnsiTheme="minorHAnsi"/>
        </w:rPr>
        <w:t xml:space="preserve">does </w:t>
      </w:r>
      <w:r w:rsidRPr="002F2C53">
        <w:rPr>
          <w:rFonts w:asciiTheme="minorHAnsi" w:hAnsiTheme="minorHAnsi"/>
        </w:rPr>
        <w:t xml:space="preserve">include </w:t>
      </w:r>
      <w:r w:rsidR="003948FA">
        <w:rPr>
          <w:rFonts w:asciiTheme="minorHAnsi" w:hAnsiTheme="minorHAnsi"/>
        </w:rPr>
        <w:t xml:space="preserve">dollar </w:t>
      </w:r>
      <w:r w:rsidRPr="002F2C53">
        <w:rPr>
          <w:rFonts w:asciiTheme="minorHAnsi" w:hAnsiTheme="minorHAnsi"/>
        </w:rPr>
        <w:t>amounts for turnover and vacancy, you may use the following designated convenience codes to identify the savings associated with such vacancy and turnover: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4500"/>
      </w:tblGrid>
      <w:tr w:rsidR="005D67BC" w:rsidRPr="002F2C53" w:rsidTr="007C3F00">
        <w:trPr>
          <w:trHeight w:val="270"/>
        </w:trPr>
        <w:tc>
          <w:tcPr>
            <w:tcW w:w="828" w:type="dxa"/>
          </w:tcPr>
          <w:p w:rsidR="005D67BC" w:rsidRPr="00D20B12" w:rsidRDefault="005D67BC" w:rsidP="007C3F00">
            <w:pPr>
              <w:autoSpaceDE w:val="0"/>
              <w:autoSpaceDN w:val="0"/>
              <w:adjustRightInd w:val="0"/>
              <w:rPr>
                <w:rFonts w:eastAsia="Times New Roman" w:cs="Times New Roman"/>
              </w:rPr>
            </w:pPr>
            <w:r w:rsidRPr="00D20B12">
              <w:rPr>
                <w:rFonts w:eastAsia="Times New Roman" w:cs="Times New Roman"/>
              </w:rPr>
              <w:t>1192</w:t>
            </w:r>
          </w:p>
        </w:tc>
        <w:tc>
          <w:tcPr>
            <w:tcW w:w="4500" w:type="dxa"/>
          </w:tcPr>
          <w:p w:rsidR="005D67BC" w:rsidRPr="00D20B12" w:rsidRDefault="005D67BC" w:rsidP="007C3F00">
            <w:pPr>
              <w:autoSpaceDE w:val="0"/>
              <w:autoSpaceDN w:val="0"/>
              <w:adjustRightInd w:val="0"/>
              <w:rPr>
                <w:rFonts w:eastAsia="Times New Roman" w:cs="Times New Roman"/>
              </w:rPr>
            </w:pPr>
            <w:r w:rsidRPr="00D20B12">
              <w:rPr>
                <w:rFonts w:eastAsia="Times New Roman" w:cs="Times New Roman"/>
              </w:rPr>
              <w:t>Turnover/Vacancy Faculty Salaries</w:t>
            </w:r>
          </w:p>
        </w:tc>
      </w:tr>
      <w:tr w:rsidR="005D67BC" w:rsidRPr="002F2C53" w:rsidTr="007C3F00">
        <w:tc>
          <w:tcPr>
            <w:tcW w:w="828" w:type="dxa"/>
          </w:tcPr>
          <w:p w:rsidR="005D67BC" w:rsidRPr="00D20B12" w:rsidRDefault="005D67BC" w:rsidP="007C3F00">
            <w:pPr>
              <w:autoSpaceDE w:val="0"/>
              <w:autoSpaceDN w:val="0"/>
              <w:adjustRightInd w:val="0"/>
              <w:rPr>
                <w:rFonts w:eastAsia="Times New Roman" w:cs="Times New Roman"/>
              </w:rPr>
            </w:pPr>
            <w:r w:rsidRPr="00D20B12">
              <w:rPr>
                <w:rFonts w:eastAsia="Times New Roman" w:cs="Times New Roman"/>
              </w:rPr>
              <w:t>1193</w:t>
            </w:r>
          </w:p>
        </w:tc>
        <w:tc>
          <w:tcPr>
            <w:tcW w:w="4500" w:type="dxa"/>
          </w:tcPr>
          <w:p w:rsidR="005D67BC" w:rsidRPr="00D20B12" w:rsidRDefault="005D67BC" w:rsidP="007C3F00">
            <w:pPr>
              <w:autoSpaceDE w:val="0"/>
              <w:autoSpaceDN w:val="0"/>
              <w:adjustRightInd w:val="0"/>
              <w:rPr>
                <w:rFonts w:eastAsia="Times New Roman" w:cs="Times New Roman"/>
              </w:rPr>
            </w:pPr>
            <w:r w:rsidRPr="00D20B12">
              <w:rPr>
                <w:rFonts w:eastAsia="Times New Roman" w:cs="Times New Roman"/>
              </w:rPr>
              <w:t>Turnover/Vacancy Fringe Benefits</w:t>
            </w:r>
          </w:p>
        </w:tc>
      </w:tr>
      <w:tr w:rsidR="005D67BC" w:rsidRPr="002F2C53" w:rsidTr="007C3F00">
        <w:trPr>
          <w:trHeight w:val="180"/>
        </w:trPr>
        <w:tc>
          <w:tcPr>
            <w:tcW w:w="828" w:type="dxa"/>
          </w:tcPr>
          <w:p w:rsidR="005D67BC" w:rsidRPr="00D20B12" w:rsidRDefault="005D67BC" w:rsidP="007C3F00">
            <w:pPr>
              <w:autoSpaceDE w:val="0"/>
              <w:autoSpaceDN w:val="0"/>
              <w:adjustRightInd w:val="0"/>
              <w:rPr>
                <w:rFonts w:eastAsia="Times New Roman" w:cs="Times New Roman"/>
              </w:rPr>
            </w:pPr>
            <w:r w:rsidRPr="00D20B12">
              <w:rPr>
                <w:rFonts w:eastAsia="Times New Roman" w:cs="Times New Roman"/>
              </w:rPr>
              <w:t>1194</w:t>
            </w:r>
          </w:p>
        </w:tc>
        <w:tc>
          <w:tcPr>
            <w:tcW w:w="4500" w:type="dxa"/>
          </w:tcPr>
          <w:p w:rsidR="005D67BC" w:rsidRPr="00D20B12" w:rsidRDefault="005D67BC" w:rsidP="007C3F00">
            <w:pPr>
              <w:autoSpaceDE w:val="0"/>
              <w:autoSpaceDN w:val="0"/>
              <w:adjustRightInd w:val="0"/>
              <w:rPr>
                <w:rFonts w:eastAsia="Times New Roman" w:cs="Times New Roman"/>
              </w:rPr>
            </w:pPr>
            <w:r w:rsidRPr="00D20B12">
              <w:rPr>
                <w:rFonts w:eastAsia="Times New Roman" w:cs="Times New Roman"/>
              </w:rPr>
              <w:t>Turnover/Vacancy Medical/Hospital Insurance</w:t>
            </w:r>
          </w:p>
        </w:tc>
      </w:tr>
      <w:tr w:rsidR="005D67BC" w:rsidTr="007C3F00">
        <w:trPr>
          <w:trHeight w:val="180"/>
        </w:trPr>
        <w:tc>
          <w:tcPr>
            <w:tcW w:w="828" w:type="dxa"/>
          </w:tcPr>
          <w:p w:rsidR="005D67BC" w:rsidRPr="00D20B12" w:rsidRDefault="005D67BC" w:rsidP="007C3F00">
            <w:pPr>
              <w:autoSpaceDE w:val="0"/>
              <w:autoSpaceDN w:val="0"/>
              <w:adjustRightInd w:val="0"/>
              <w:rPr>
                <w:rFonts w:eastAsia="Times New Roman" w:cs="Times New Roman"/>
              </w:rPr>
            </w:pPr>
            <w:r w:rsidRPr="00D20B12">
              <w:rPr>
                <w:rFonts w:eastAsia="Times New Roman" w:cs="Times New Roman"/>
              </w:rPr>
              <w:t>1195</w:t>
            </w:r>
          </w:p>
        </w:tc>
        <w:tc>
          <w:tcPr>
            <w:tcW w:w="4500" w:type="dxa"/>
          </w:tcPr>
          <w:p w:rsidR="005D67BC" w:rsidRPr="00D20B12" w:rsidRDefault="005D67BC" w:rsidP="007C3F00">
            <w:pPr>
              <w:autoSpaceDE w:val="0"/>
              <w:autoSpaceDN w:val="0"/>
              <w:adjustRightInd w:val="0"/>
              <w:rPr>
                <w:rFonts w:eastAsia="Times New Roman" w:cs="Times New Roman"/>
              </w:rPr>
            </w:pPr>
            <w:r w:rsidRPr="00D20B12">
              <w:rPr>
                <w:rFonts w:eastAsia="Times New Roman" w:cs="Times New Roman"/>
              </w:rPr>
              <w:t>Turnover/Vacancy Classified Salaries</w:t>
            </w:r>
          </w:p>
        </w:tc>
      </w:tr>
    </w:tbl>
    <w:p w:rsidR="005D67BC" w:rsidRPr="005D67BC" w:rsidRDefault="005D67BC" w:rsidP="005D67BC">
      <w:pPr>
        <w:autoSpaceDE w:val="0"/>
        <w:autoSpaceDN w:val="0"/>
        <w:adjustRightInd w:val="0"/>
        <w:spacing w:after="120" w:line="240" w:lineRule="auto"/>
        <w:ind w:left="360"/>
        <w:rPr>
          <w:rFonts w:eastAsia="Times New Roman" w:cs="Times New Roman"/>
          <w:sz w:val="24"/>
          <w:szCs w:val="20"/>
        </w:rPr>
      </w:pPr>
    </w:p>
    <w:p w:rsidR="005D67BC" w:rsidRPr="002269A5" w:rsidRDefault="0038049A" w:rsidP="005D67BC">
      <w:pPr>
        <w:tabs>
          <w:tab w:val="left" w:pos="360"/>
        </w:tabs>
        <w:spacing w:after="160"/>
        <w:rPr>
          <w:rFonts w:cs="Arial"/>
          <w:b/>
          <w:bCs/>
          <w:i/>
          <w:iCs/>
          <w:sz w:val="24"/>
          <w:szCs w:val="24"/>
        </w:rPr>
      </w:pPr>
      <w:r w:rsidRPr="0038049A">
        <w:rPr>
          <w:rFonts w:cs="Arial"/>
          <w:b/>
          <w:bCs/>
          <w:i/>
          <w:iCs/>
          <w:sz w:val="24"/>
          <w:szCs w:val="24"/>
        </w:rPr>
        <w:t>Please do not use any other convenience codes for personal services.</w:t>
      </w:r>
    </w:p>
    <w:p w:rsidR="00E21A30" w:rsidRDefault="00E21A30" w:rsidP="00804ED8">
      <w:pPr>
        <w:pStyle w:val="SubHeading"/>
        <w:rPr>
          <w:rFonts w:asciiTheme="minorHAnsi" w:hAnsiTheme="minorHAnsi"/>
        </w:rPr>
      </w:pPr>
      <w:bookmarkStart w:id="10" w:name="_Toc355338435"/>
      <w:r>
        <w:t>Authorized Position Level</w:t>
      </w:r>
      <w:bookmarkEnd w:id="10"/>
    </w:p>
    <w:p w:rsidR="00E21A30" w:rsidRDefault="00E21A30" w:rsidP="00E21A30">
      <w:pPr>
        <w:pStyle w:val="StyleTimesNewRomanAfter4pt"/>
        <w:ind w:firstLine="0"/>
        <w:rPr>
          <w:rFonts w:asciiTheme="minorHAnsi" w:hAnsiTheme="minorHAnsi"/>
        </w:rPr>
      </w:pPr>
      <w:r>
        <w:rPr>
          <w:rFonts w:asciiTheme="minorHAnsi" w:hAnsiTheme="minorHAnsi"/>
        </w:rPr>
        <w:t xml:space="preserve">Position level detail in the Performance Budgeting System </w:t>
      </w:r>
      <w:r w:rsidR="00AC61C9">
        <w:rPr>
          <w:rFonts w:asciiTheme="minorHAnsi" w:hAnsiTheme="minorHAnsi"/>
        </w:rPr>
        <w:t>b</w:t>
      </w:r>
      <w:r>
        <w:rPr>
          <w:rFonts w:asciiTheme="minorHAnsi" w:hAnsiTheme="minorHAnsi"/>
        </w:rPr>
        <w:t xml:space="preserve">ase </w:t>
      </w:r>
      <w:r w:rsidR="00AC61C9">
        <w:rPr>
          <w:rFonts w:asciiTheme="minorHAnsi" w:hAnsiTheme="minorHAnsi"/>
        </w:rPr>
        <w:t>b</w:t>
      </w:r>
      <w:r>
        <w:rPr>
          <w:rFonts w:asciiTheme="minorHAnsi" w:hAnsiTheme="minorHAnsi"/>
        </w:rPr>
        <w:t xml:space="preserve">udget module is not automatically pre-populated when the user chooses to auto-populate dollar amounts.  </w:t>
      </w:r>
      <w:r w:rsidRPr="00980177">
        <w:rPr>
          <w:rFonts w:asciiTheme="minorHAnsi" w:hAnsiTheme="minorHAnsi"/>
        </w:rPr>
        <w:t>Because of this, DPB has made available on its Web Site, a listing of the position level detailed appropriation included in the 2013 Appropriation Act for FY 2014</w:t>
      </w:r>
      <w:r>
        <w:rPr>
          <w:rFonts w:asciiTheme="minorHAnsi" w:hAnsiTheme="minorHAnsi"/>
        </w:rPr>
        <w:t xml:space="preserve">.  You may choose to use data from this source to import into the Performance Budgeting System (see the “Position Planning Tab” section of the Performance Budgeting System instructions included </w:t>
      </w:r>
      <w:r w:rsidRPr="00624CF8">
        <w:rPr>
          <w:rFonts w:asciiTheme="minorHAnsi" w:hAnsiTheme="minorHAnsi"/>
        </w:rPr>
        <w:t xml:space="preserve">in Appendix </w:t>
      </w:r>
      <w:r w:rsidR="00F22E92" w:rsidRPr="00624CF8">
        <w:rPr>
          <w:rFonts w:asciiTheme="minorHAnsi" w:hAnsiTheme="minorHAnsi"/>
        </w:rPr>
        <w:t>A</w:t>
      </w:r>
      <w:r>
        <w:rPr>
          <w:rFonts w:asciiTheme="minorHAnsi" w:hAnsiTheme="minorHAnsi"/>
        </w:rPr>
        <w:t xml:space="preserve"> for more details).</w:t>
      </w:r>
      <w:r w:rsidR="00980177">
        <w:rPr>
          <w:rFonts w:asciiTheme="minorHAnsi" w:hAnsiTheme="minorHAnsi"/>
        </w:rPr>
        <w:t xml:space="preserve"> </w:t>
      </w:r>
    </w:p>
    <w:p w:rsidR="00E21A30" w:rsidRDefault="00E21A30" w:rsidP="00E21A30">
      <w:pPr>
        <w:pStyle w:val="StyleTimesNewRomanAfter4pt"/>
        <w:ind w:firstLine="0"/>
        <w:rPr>
          <w:rFonts w:asciiTheme="minorHAnsi" w:hAnsiTheme="minorHAnsi"/>
        </w:rPr>
      </w:pPr>
    </w:p>
    <w:p w:rsidR="00E21A30" w:rsidRPr="00DD214B" w:rsidRDefault="00E21A30" w:rsidP="00E21A30">
      <w:pPr>
        <w:pStyle w:val="StyleTimesNewRomanAfter4pt"/>
        <w:ind w:firstLine="0"/>
        <w:rPr>
          <w:rFonts w:asciiTheme="minorHAnsi" w:hAnsiTheme="minorHAnsi" w:cs="Arial"/>
          <w:b/>
          <w:i/>
          <w:szCs w:val="24"/>
        </w:rPr>
      </w:pPr>
      <w:r w:rsidRPr="00DD214B">
        <w:rPr>
          <w:rFonts w:asciiTheme="minorHAnsi" w:hAnsiTheme="minorHAnsi" w:cs="Arial"/>
          <w:b/>
          <w:i/>
          <w:szCs w:val="24"/>
        </w:rPr>
        <w:t xml:space="preserve">Remember </w:t>
      </w:r>
      <w:r>
        <w:rPr>
          <w:rFonts w:asciiTheme="minorHAnsi" w:hAnsiTheme="minorHAnsi" w:cs="Arial"/>
          <w:b/>
          <w:i/>
          <w:szCs w:val="24"/>
        </w:rPr>
        <w:t xml:space="preserve">that positions can be carried out to </w:t>
      </w:r>
      <w:r w:rsidRPr="00DD214B">
        <w:rPr>
          <w:rFonts w:asciiTheme="minorHAnsi" w:hAnsiTheme="minorHAnsi" w:cs="Arial"/>
          <w:b/>
          <w:i/>
          <w:szCs w:val="24"/>
        </w:rPr>
        <w:t>two decimal places.  Also, positions can be assigned only to personal services subobject codes.</w:t>
      </w:r>
    </w:p>
    <w:p w:rsidR="00736732" w:rsidRDefault="00736732">
      <w:pPr>
        <w:rPr>
          <w:rFonts w:ascii="Calibri" w:hAnsi="Calibri"/>
          <w:b/>
          <w:bCs/>
          <w:color w:val="4F81BD"/>
          <w:sz w:val="32"/>
          <w:szCs w:val="32"/>
        </w:rPr>
      </w:pPr>
    </w:p>
    <w:p w:rsidR="00D51F00" w:rsidRDefault="00D51F00">
      <w:pPr>
        <w:rPr>
          <w:rFonts w:ascii="Calibri" w:eastAsia="Times New Roman" w:hAnsi="Calibri" w:cs="Times New Roman"/>
          <w:b/>
          <w:bCs/>
          <w:color w:val="4F81BD"/>
          <w:sz w:val="32"/>
          <w:szCs w:val="32"/>
        </w:rPr>
      </w:pPr>
      <w:r>
        <w:rPr>
          <w:rFonts w:ascii="Calibri" w:hAnsi="Calibri"/>
          <w:b/>
          <w:bCs/>
          <w:color w:val="4F81BD"/>
          <w:sz w:val="32"/>
          <w:szCs w:val="32"/>
        </w:rPr>
        <w:br w:type="page"/>
      </w:r>
    </w:p>
    <w:p w:rsidR="00F160CB" w:rsidRDefault="00F160CB" w:rsidP="00804ED8">
      <w:pPr>
        <w:pStyle w:val="SubHeading"/>
        <w:rPr>
          <w:rFonts w:asciiTheme="minorHAnsi" w:hAnsiTheme="minorHAnsi"/>
        </w:rPr>
      </w:pPr>
      <w:bookmarkStart w:id="11" w:name="_Toc355338436"/>
      <w:r>
        <w:lastRenderedPageBreak/>
        <w:t>Benefit Rates</w:t>
      </w:r>
      <w:bookmarkEnd w:id="11"/>
    </w:p>
    <w:p w:rsidR="0038049A" w:rsidRDefault="005D67BC" w:rsidP="0038049A">
      <w:pPr>
        <w:pStyle w:val="StyleTimesNewRomanAfter4pt"/>
        <w:spacing w:before="0" w:after="60"/>
        <w:ind w:firstLine="0"/>
        <w:rPr>
          <w:rFonts w:asciiTheme="minorHAnsi" w:hAnsiTheme="minorHAnsi"/>
        </w:rPr>
      </w:pPr>
      <w:r w:rsidRPr="00CC63DA">
        <w:rPr>
          <w:rFonts w:asciiTheme="minorHAnsi" w:hAnsiTheme="minorHAnsi"/>
        </w:rPr>
        <w:t xml:space="preserve">Due to the fact that the totals of the base budget submission must match the agency totals in </w:t>
      </w:r>
      <w:r w:rsidR="0038049A" w:rsidRPr="0038049A">
        <w:rPr>
          <w:rFonts w:asciiTheme="minorHAnsi" w:hAnsiTheme="minorHAnsi"/>
        </w:rPr>
        <w:t xml:space="preserve">Chapter </w:t>
      </w:r>
      <w:r w:rsidR="00A61DF5">
        <w:rPr>
          <w:rFonts w:asciiTheme="minorHAnsi" w:hAnsiTheme="minorHAnsi"/>
        </w:rPr>
        <w:t>806</w:t>
      </w:r>
      <w:r w:rsidRPr="00CC63DA">
        <w:rPr>
          <w:rFonts w:asciiTheme="minorHAnsi" w:hAnsiTheme="minorHAnsi"/>
        </w:rPr>
        <w:t xml:space="preserve">, your funding will not include fringe benefit changes </w:t>
      </w:r>
      <w:r w:rsidR="00802D93">
        <w:rPr>
          <w:rFonts w:asciiTheme="minorHAnsi" w:hAnsiTheme="minorHAnsi"/>
        </w:rPr>
        <w:t>that have occurred during the 2012-14 biennium.</w:t>
      </w:r>
      <w:r w:rsidRPr="00CC63DA">
        <w:rPr>
          <w:rFonts w:asciiTheme="minorHAnsi" w:hAnsiTheme="minorHAnsi"/>
        </w:rPr>
        <w:t xml:space="preserve">  These changes are </w:t>
      </w:r>
      <w:r w:rsidR="00980177">
        <w:rPr>
          <w:rFonts w:asciiTheme="minorHAnsi" w:hAnsiTheme="minorHAnsi"/>
        </w:rPr>
        <w:t xml:space="preserve">budgeted </w:t>
      </w:r>
      <w:r w:rsidR="00802D93">
        <w:rPr>
          <w:rFonts w:asciiTheme="minorHAnsi" w:hAnsiTheme="minorHAnsi"/>
        </w:rPr>
        <w:t>separately</w:t>
      </w:r>
      <w:r w:rsidR="00802D93" w:rsidRPr="00CC63DA">
        <w:rPr>
          <w:rFonts w:asciiTheme="minorHAnsi" w:hAnsiTheme="minorHAnsi"/>
        </w:rPr>
        <w:t xml:space="preserve"> in</w:t>
      </w:r>
      <w:r w:rsidRPr="00CC63DA">
        <w:rPr>
          <w:rFonts w:asciiTheme="minorHAnsi" w:hAnsiTheme="minorHAnsi"/>
        </w:rPr>
        <w:t xml:space="preserve"> Central Appropriations.  These amounts will be </w:t>
      </w:r>
      <w:r w:rsidR="00980177">
        <w:rPr>
          <w:rFonts w:asciiTheme="minorHAnsi" w:hAnsiTheme="minorHAnsi"/>
        </w:rPr>
        <w:t xml:space="preserve">added to your agency </w:t>
      </w:r>
      <w:r w:rsidR="00802D93">
        <w:rPr>
          <w:rFonts w:asciiTheme="minorHAnsi" w:hAnsiTheme="minorHAnsi"/>
        </w:rPr>
        <w:t xml:space="preserve">2014-16 budget </w:t>
      </w:r>
      <w:r w:rsidRPr="00CC63DA">
        <w:rPr>
          <w:rFonts w:asciiTheme="minorHAnsi" w:hAnsiTheme="minorHAnsi"/>
        </w:rPr>
        <w:t xml:space="preserve">as </w:t>
      </w:r>
      <w:r w:rsidR="00802D93">
        <w:rPr>
          <w:rFonts w:asciiTheme="minorHAnsi" w:hAnsiTheme="minorHAnsi"/>
        </w:rPr>
        <w:t xml:space="preserve">a part of the </w:t>
      </w:r>
      <w:r w:rsidRPr="00CC63DA">
        <w:rPr>
          <w:rFonts w:asciiTheme="minorHAnsi" w:hAnsiTheme="minorHAnsi"/>
        </w:rPr>
        <w:t xml:space="preserve">base adjustments submission later during budget development.  Consequently, the rates you will be using to calculate personal services costs for the 2014-2016 base submission will not be the benefit rates you </w:t>
      </w:r>
      <w:r w:rsidR="00E21A30" w:rsidRPr="00CC63DA">
        <w:rPr>
          <w:rFonts w:asciiTheme="minorHAnsi" w:hAnsiTheme="minorHAnsi"/>
        </w:rPr>
        <w:t>will use</w:t>
      </w:r>
      <w:r w:rsidRPr="00CC63DA">
        <w:rPr>
          <w:rFonts w:asciiTheme="minorHAnsi" w:hAnsiTheme="minorHAnsi"/>
        </w:rPr>
        <w:t xml:space="preserve"> in budget execution for FY 2014.  </w:t>
      </w:r>
      <w:r w:rsidR="00E21A30">
        <w:rPr>
          <w:rFonts w:asciiTheme="minorHAnsi" w:hAnsiTheme="minorHAnsi"/>
        </w:rPr>
        <w:t xml:space="preserve">The “Base Budget Rates/Factors” column in the table below shows the benefit rates you </w:t>
      </w:r>
      <w:r w:rsidR="000D44DC">
        <w:rPr>
          <w:rFonts w:asciiTheme="minorHAnsi" w:hAnsiTheme="minorHAnsi"/>
        </w:rPr>
        <w:t>will</w:t>
      </w:r>
      <w:r w:rsidR="00E21A30">
        <w:rPr>
          <w:rFonts w:asciiTheme="minorHAnsi" w:hAnsiTheme="minorHAnsi"/>
        </w:rPr>
        <w:t xml:space="preserve"> use in your base budget submission.  The </w:t>
      </w:r>
      <w:r w:rsidR="004C1D4D">
        <w:rPr>
          <w:rFonts w:asciiTheme="minorHAnsi" w:hAnsiTheme="minorHAnsi"/>
        </w:rPr>
        <w:t>decision package and base adjustment</w:t>
      </w:r>
      <w:r w:rsidR="00E21A30">
        <w:rPr>
          <w:rFonts w:asciiTheme="minorHAnsi" w:hAnsiTheme="minorHAnsi"/>
        </w:rPr>
        <w:t xml:space="preserve"> rates are included for </w:t>
      </w:r>
      <w:r w:rsidR="00021334">
        <w:rPr>
          <w:rFonts w:asciiTheme="minorHAnsi" w:hAnsiTheme="minorHAnsi"/>
        </w:rPr>
        <w:t xml:space="preserve">your </w:t>
      </w:r>
      <w:r w:rsidR="00E21A30">
        <w:rPr>
          <w:rFonts w:asciiTheme="minorHAnsi" w:hAnsiTheme="minorHAnsi"/>
        </w:rPr>
        <w:t>information.</w:t>
      </w:r>
      <w:r w:rsidR="00747C5B">
        <w:rPr>
          <w:rFonts w:asciiTheme="minorHAnsi" w:hAnsiTheme="minorHAnsi"/>
        </w:rPr>
        <w:t xml:space="preserve"> </w:t>
      </w:r>
    </w:p>
    <w:tbl>
      <w:tblPr>
        <w:tblW w:w="9716" w:type="dxa"/>
        <w:jc w:val="center"/>
        <w:tblInd w:w="-666" w:type="dxa"/>
        <w:tblLayout w:type="fixed"/>
        <w:tblCellMar>
          <w:left w:w="0" w:type="dxa"/>
          <w:right w:w="0" w:type="dxa"/>
        </w:tblCellMar>
        <w:tblLook w:val="0000"/>
      </w:tblPr>
      <w:tblGrid>
        <w:gridCol w:w="657"/>
        <w:gridCol w:w="2520"/>
        <w:gridCol w:w="1530"/>
        <w:gridCol w:w="2563"/>
        <w:gridCol w:w="2446"/>
      </w:tblGrid>
      <w:tr w:rsidR="00A1100A" w:rsidRPr="0001193B" w:rsidTr="00B44A2E">
        <w:trPr>
          <w:trHeight w:val="245"/>
          <w:jc w:val="center"/>
        </w:trPr>
        <w:tc>
          <w:tcPr>
            <w:tcW w:w="657" w:type="dxa"/>
            <w:tcBorders>
              <w:top w:val="single" w:sz="12" w:space="0" w:color="auto"/>
              <w:left w:val="single" w:sz="12" w:space="0" w:color="auto"/>
              <w:bottom w:val="single" w:sz="12" w:space="0" w:color="auto"/>
              <w:right w:val="single" w:sz="8" w:space="0" w:color="FFFFFF"/>
            </w:tcBorders>
            <w:shd w:val="clear" w:color="auto" w:fill="4F81BD" w:themeFill="accent1"/>
            <w:noWrap/>
            <w:tcMar>
              <w:top w:w="13" w:type="dxa"/>
              <w:left w:w="13" w:type="dxa"/>
              <w:bottom w:w="0" w:type="dxa"/>
              <w:right w:w="13" w:type="dxa"/>
            </w:tcMar>
            <w:vAlign w:val="bottom"/>
          </w:tcPr>
          <w:p w:rsidR="00A1100A" w:rsidRPr="00A1100A" w:rsidRDefault="00A1100A" w:rsidP="00B44A2E">
            <w:pPr>
              <w:pStyle w:val="Heading3"/>
              <w:tabs>
                <w:tab w:val="left" w:pos="-20"/>
              </w:tabs>
              <w:spacing w:after="0" w:afterAutospacing="0"/>
              <w:ind w:hanging="20"/>
              <w:jc w:val="center"/>
              <w:rPr>
                <w:rFonts w:asciiTheme="minorHAnsi" w:hAnsiTheme="minorHAnsi"/>
                <w:i/>
                <w:iCs/>
                <w:color w:val="FFFFFF"/>
                <w:sz w:val="20"/>
                <w:szCs w:val="20"/>
              </w:rPr>
            </w:pPr>
            <w:r w:rsidRPr="00A1100A">
              <w:rPr>
                <w:rFonts w:asciiTheme="minorHAnsi" w:hAnsiTheme="minorHAnsi"/>
                <w:i/>
                <w:iCs/>
                <w:color w:val="FFFFFF"/>
                <w:sz w:val="20"/>
                <w:szCs w:val="20"/>
              </w:rPr>
              <w:t>Sub Object</w:t>
            </w:r>
          </w:p>
        </w:tc>
        <w:tc>
          <w:tcPr>
            <w:tcW w:w="4050" w:type="dxa"/>
            <w:gridSpan w:val="2"/>
            <w:tcBorders>
              <w:top w:val="single" w:sz="12" w:space="0" w:color="auto"/>
              <w:left w:val="single" w:sz="8" w:space="0" w:color="FFFFFF"/>
              <w:bottom w:val="single" w:sz="12" w:space="0" w:color="auto"/>
              <w:right w:val="single" w:sz="8" w:space="0" w:color="FFFFFF"/>
            </w:tcBorders>
            <w:shd w:val="clear" w:color="auto" w:fill="4F81BD" w:themeFill="accent1"/>
            <w:noWrap/>
            <w:tcMar>
              <w:top w:w="13" w:type="dxa"/>
              <w:left w:w="13" w:type="dxa"/>
              <w:bottom w:w="0" w:type="dxa"/>
              <w:right w:w="13" w:type="dxa"/>
            </w:tcMar>
            <w:vAlign w:val="bottom"/>
          </w:tcPr>
          <w:p w:rsidR="00A1100A" w:rsidRPr="00A1100A" w:rsidRDefault="00A1100A" w:rsidP="00B44A2E">
            <w:pPr>
              <w:pStyle w:val="Heading3"/>
              <w:spacing w:after="0" w:afterAutospacing="0"/>
              <w:ind w:firstLine="385"/>
              <w:rPr>
                <w:rFonts w:asciiTheme="minorHAnsi" w:hAnsiTheme="minorHAnsi"/>
                <w:i/>
                <w:iCs/>
                <w:color w:val="FFFFFF"/>
                <w:sz w:val="20"/>
                <w:szCs w:val="20"/>
              </w:rPr>
            </w:pPr>
            <w:r w:rsidRPr="00A1100A">
              <w:rPr>
                <w:rFonts w:asciiTheme="minorHAnsi" w:hAnsiTheme="minorHAnsi"/>
                <w:i/>
                <w:iCs/>
                <w:color w:val="FFFFFF"/>
                <w:sz w:val="20"/>
                <w:szCs w:val="20"/>
              </w:rPr>
              <w:t>Benefit</w:t>
            </w:r>
          </w:p>
        </w:tc>
        <w:tc>
          <w:tcPr>
            <w:tcW w:w="2563" w:type="dxa"/>
            <w:tcBorders>
              <w:top w:val="single" w:sz="12" w:space="0" w:color="auto"/>
              <w:left w:val="single" w:sz="8" w:space="0" w:color="FFFFFF"/>
              <w:bottom w:val="single" w:sz="12" w:space="0" w:color="auto"/>
              <w:right w:val="single" w:sz="4" w:space="0" w:color="auto"/>
            </w:tcBorders>
            <w:shd w:val="clear" w:color="auto" w:fill="4F81BD" w:themeFill="accent1"/>
            <w:noWrap/>
            <w:tcMar>
              <w:top w:w="13" w:type="dxa"/>
              <w:left w:w="13" w:type="dxa"/>
              <w:bottom w:w="0" w:type="dxa"/>
              <w:right w:w="13" w:type="dxa"/>
            </w:tcMar>
            <w:vAlign w:val="bottom"/>
          </w:tcPr>
          <w:p w:rsidR="00A1100A" w:rsidRPr="00A1100A" w:rsidRDefault="00A1100A" w:rsidP="00B44A2E">
            <w:pPr>
              <w:pStyle w:val="Heading3"/>
              <w:tabs>
                <w:tab w:val="left" w:pos="-60"/>
              </w:tabs>
              <w:spacing w:before="0" w:beforeAutospacing="0" w:after="0" w:afterAutospacing="0"/>
              <w:ind w:left="-58" w:firstLine="29"/>
              <w:jc w:val="center"/>
              <w:rPr>
                <w:rFonts w:asciiTheme="minorHAnsi" w:hAnsiTheme="minorHAnsi"/>
                <w:i/>
                <w:iCs/>
                <w:color w:val="FFFFFF"/>
                <w:sz w:val="20"/>
                <w:szCs w:val="20"/>
              </w:rPr>
            </w:pPr>
            <w:r w:rsidRPr="00A1100A">
              <w:rPr>
                <w:rFonts w:asciiTheme="minorHAnsi" w:hAnsiTheme="minorHAnsi"/>
                <w:i/>
                <w:iCs/>
                <w:color w:val="FFFFFF"/>
                <w:sz w:val="20"/>
                <w:szCs w:val="20"/>
              </w:rPr>
              <w:t xml:space="preserve">Base Budget </w:t>
            </w:r>
          </w:p>
          <w:p w:rsidR="00A1100A" w:rsidRPr="00A1100A" w:rsidRDefault="00E21A30" w:rsidP="00B44A2E">
            <w:pPr>
              <w:pStyle w:val="Heading3"/>
              <w:tabs>
                <w:tab w:val="left" w:pos="-60"/>
              </w:tabs>
              <w:spacing w:before="0" w:beforeAutospacing="0" w:after="0" w:afterAutospacing="0"/>
              <w:ind w:left="-58" w:firstLine="29"/>
              <w:jc w:val="center"/>
              <w:rPr>
                <w:rFonts w:asciiTheme="minorHAnsi" w:hAnsiTheme="minorHAnsi"/>
                <w:i/>
                <w:iCs/>
                <w:color w:val="FFFFFF"/>
                <w:sz w:val="20"/>
                <w:szCs w:val="20"/>
              </w:rPr>
            </w:pPr>
            <w:r>
              <w:rPr>
                <w:rFonts w:asciiTheme="minorHAnsi" w:hAnsiTheme="minorHAnsi"/>
                <w:i/>
                <w:iCs/>
                <w:color w:val="FFFFFF"/>
                <w:sz w:val="20"/>
                <w:szCs w:val="20"/>
              </w:rPr>
              <w:t xml:space="preserve">Rates/ </w:t>
            </w:r>
            <w:r w:rsidR="00A1100A" w:rsidRPr="00A1100A">
              <w:rPr>
                <w:rFonts w:asciiTheme="minorHAnsi" w:hAnsiTheme="minorHAnsi"/>
                <w:i/>
                <w:iCs/>
                <w:color w:val="FFFFFF"/>
                <w:sz w:val="20"/>
                <w:szCs w:val="20"/>
              </w:rPr>
              <w:t xml:space="preserve">Factors </w:t>
            </w:r>
            <w:r w:rsidR="00A1100A" w:rsidRPr="00A1100A">
              <w:rPr>
                <w:rFonts w:asciiTheme="minorHAnsi" w:hAnsiTheme="minorHAnsi"/>
                <w:i/>
                <w:iCs/>
                <w:color w:val="FFFFFF"/>
                <w:sz w:val="20"/>
                <w:szCs w:val="20"/>
                <w:vertAlign w:val="superscript"/>
              </w:rPr>
              <w:t>1</w:t>
            </w:r>
          </w:p>
        </w:tc>
        <w:tc>
          <w:tcPr>
            <w:tcW w:w="2446" w:type="dxa"/>
            <w:tcBorders>
              <w:top w:val="single" w:sz="12" w:space="0" w:color="auto"/>
              <w:left w:val="single" w:sz="4" w:space="0" w:color="auto"/>
              <w:bottom w:val="single" w:sz="12" w:space="0" w:color="auto"/>
              <w:right w:val="single" w:sz="12" w:space="0" w:color="auto"/>
            </w:tcBorders>
            <w:shd w:val="clear" w:color="auto" w:fill="4F81BD" w:themeFill="accent1"/>
          </w:tcPr>
          <w:p w:rsidR="00E21A30" w:rsidRDefault="004C1D4D" w:rsidP="00E21A30">
            <w:pPr>
              <w:pStyle w:val="Heading3"/>
              <w:tabs>
                <w:tab w:val="left" w:pos="-60"/>
              </w:tabs>
              <w:spacing w:before="0" w:beforeAutospacing="0" w:after="0" w:afterAutospacing="0"/>
              <w:ind w:left="-58" w:firstLine="29"/>
              <w:jc w:val="center"/>
              <w:rPr>
                <w:rFonts w:asciiTheme="minorHAnsi" w:hAnsiTheme="minorHAnsi"/>
                <w:i/>
                <w:iCs/>
                <w:color w:val="FFFFFF"/>
                <w:sz w:val="20"/>
                <w:szCs w:val="20"/>
              </w:rPr>
            </w:pPr>
            <w:r>
              <w:rPr>
                <w:rFonts w:asciiTheme="minorHAnsi" w:hAnsiTheme="minorHAnsi"/>
                <w:i/>
                <w:iCs/>
                <w:color w:val="FFFFFF"/>
                <w:sz w:val="20"/>
                <w:szCs w:val="20"/>
              </w:rPr>
              <w:t>Base Adjustment/Decision Package</w:t>
            </w:r>
          </w:p>
          <w:p w:rsidR="00A1100A" w:rsidRPr="00E21A30" w:rsidRDefault="00E21A30" w:rsidP="00E21A30">
            <w:pPr>
              <w:pStyle w:val="Heading3"/>
              <w:tabs>
                <w:tab w:val="left" w:pos="-60"/>
              </w:tabs>
              <w:spacing w:before="0" w:beforeAutospacing="0" w:after="0" w:afterAutospacing="0"/>
              <w:ind w:left="-58" w:firstLine="29"/>
              <w:jc w:val="center"/>
              <w:rPr>
                <w:rFonts w:asciiTheme="minorHAnsi" w:hAnsiTheme="minorHAnsi"/>
                <w:i/>
                <w:iCs/>
                <w:color w:val="FFFFFF"/>
                <w:sz w:val="20"/>
                <w:szCs w:val="20"/>
              </w:rPr>
            </w:pPr>
            <w:r>
              <w:rPr>
                <w:rFonts w:asciiTheme="minorHAnsi" w:hAnsiTheme="minorHAnsi"/>
                <w:i/>
                <w:iCs/>
                <w:color w:val="FFFFFF"/>
                <w:sz w:val="20"/>
                <w:szCs w:val="20"/>
              </w:rPr>
              <w:t>Rates/</w:t>
            </w:r>
            <w:r w:rsidRPr="00E21A30">
              <w:rPr>
                <w:rFonts w:asciiTheme="minorHAnsi" w:hAnsiTheme="minorHAnsi"/>
                <w:i/>
                <w:iCs/>
                <w:color w:val="FFFFFF"/>
                <w:sz w:val="20"/>
                <w:szCs w:val="20"/>
              </w:rPr>
              <w:t>Factors</w:t>
            </w:r>
            <w:r w:rsidR="00365097" w:rsidRPr="00A1100A">
              <w:rPr>
                <w:rFonts w:asciiTheme="minorHAnsi" w:hAnsiTheme="minorHAnsi"/>
                <w:i/>
                <w:iCs/>
                <w:color w:val="FFFFFF"/>
                <w:sz w:val="20"/>
                <w:szCs w:val="20"/>
                <w:vertAlign w:val="superscript"/>
              </w:rPr>
              <w:t>1</w:t>
            </w:r>
          </w:p>
        </w:tc>
      </w:tr>
      <w:tr w:rsidR="00A1100A" w:rsidRPr="0001193B" w:rsidTr="002E3265">
        <w:trPr>
          <w:trHeight w:val="188"/>
          <w:jc w:val="center"/>
        </w:trPr>
        <w:tc>
          <w:tcPr>
            <w:tcW w:w="657" w:type="dxa"/>
            <w:tcBorders>
              <w:top w:val="single" w:sz="12" w:space="0" w:color="auto"/>
              <w:left w:val="single" w:sz="12" w:space="0" w:color="auto"/>
              <w:bottom w:val="nil"/>
              <w:right w:val="single" w:sz="8" w:space="0" w:color="auto"/>
            </w:tcBorders>
            <w:noWrap/>
            <w:tcMar>
              <w:top w:w="43" w:type="dxa"/>
              <w:left w:w="13" w:type="dxa"/>
              <w:bottom w:w="43" w:type="dxa"/>
              <w:right w:w="13" w:type="dxa"/>
            </w:tcMar>
          </w:tcPr>
          <w:p w:rsidR="00A1100A" w:rsidRPr="00E21A30" w:rsidRDefault="00A1100A" w:rsidP="002E3265">
            <w:pPr>
              <w:tabs>
                <w:tab w:val="left" w:pos="70"/>
              </w:tabs>
              <w:spacing w:after="0" w:line="240" w:lineRule="auto"/>
              <w:ind w:hanging="75"/>
              <w:jc w:val="center"/>
              <w:rPr>
                <w:rFonts w:cs="Arial"/>
                <w:b/>
                <w:bCs/>
                <w:sz w:val="18"/>
                <w:szCs w:val="18"/>
              </w:rPr>
            </w:pPr>
            <w:r w:rsidRPr="00E21A30">
              <w:rPr>
                <w:rFonts w:cs="Arial"/>
                <w:b/>
                <w:bCs/>
                <w:sz w:val="18"/>
                <w:szCs w:val="18"/>
              </w:rPr>
              <w:t>1111</w:t>
            </w:r>
          </w:p>
        </w:tc>
        <w:tc>
          <w:tcPr>
            <w:tcW w:w="4050" w:type="dxa"/>
            <w:gridSpan w:val="2"/>
            <w:tcBorders>
              <w:top w:val="single" w:sz="12" w:space="0" w:color="auto"/>
              <w:left w:val="single" w:sz="8" w:space="0" w:color="auto"/>
              <w:bottom w:val="nil"/>
              <w:right w:val="single" w:sz="8" w:space="0" w:color="auto"/>
            </w:tcBorders>
            <w:noWrap/>
            <w:tcMar>
              <w:top w:w="43" w:type="dxa"/>
              <w:left w:w="72" w:type="dxa"/>
              <w:bottom w:w="43" w:type="dxa"/>
              <w:right w:w="13" w:type="dxa"/>
            </w:tcMar>
          </w:tcPr>
          <w:p w:rsidR="00A1100A" w:rsidRPr="00E21A30" w:rsidRDefault="00A1100A" w:rsidP="002E3265">
            <w:pPr>
              <w:spacing w:after="0" w:line="240" w:lineRule="auto"/>
              <w:ind w:left="108"/>
              <w:rPr>
                <w:rFonts w:cs="Arial"/>
                <w:b/>
                <w:bCs/>
                <w:sz w:val="18"/>
                <w:szCs w:val="18"/>
              </w:rPr>
            </w:pPr>
            <w:r w:rsidRPr="00E21A30">
              <w:rPr>
                <w:rFonts w:cs="Arial"/>
                <w:b/>
                <w:bCs/>
                <w:sz w:val="18"/>
                <w:szCs w:val="18"/>
              </w:rPr>
              <w:t>VRS Retirement Contributions</w:t>
            </w:r>
          </w:p>
        </w:tc>
        <w:tc>
          <w:tcPr>
            <w:tcW w:w="2563" w:type="dxa"/>
            <w:tcBorders>
              <w:top w:val="single" w:sz="12" w:space="0" w:color="auto"/>
              <w:left w:val="single" w:sz="8" w:space="0" w:color="auto"/>
              <w:bottom w:val="nil"/>
              <w:right w:val="single" w:sz="4" w:space="0" w:color="auto"/>
            </w:tcBorders>
            <w:noWrap/>
            <w:tcMar>
              <w:top w:w="43" w:type="dxa"/>
              <w:left w:w="13" w:type="dxa"/>
              <w:bottom w:w="43" w:type="dxa"/>
              <w:right w:w="13" w:type="dxa"/>
            </w:tcMar>
          </w:tcPr>
          <w:p w:rsidR="00A1100A" w:rsidRPr="00E21A30" w:rsidRDefault="00A1100A" w:rsidP="002E3265">
            <w:pPr>
              <w:tabs>
                <w:tab w:val="left" w:pos="-60"/>
              </w:tabs>
              <w:spacing w:after="0" w:line="240" w:lineRule="auto"/>
              <w:ind w:left="-60"/>
              <w:jc w:val="center"/>
              <w:rPr>
                <w:rFonts w:cs="Arial"/>
                <w:sz w:val="18"/>
                <w:szCs w:val="18"/>
              </w:rPr>
            </w:pPr>
          </w:p>
        </w:tc>
        <w:tc>
          <w:tcPr>
            <w:tcW w:w="2446" w:type="dxa"/>
            <w:tcBorders>
              <w:top w:val="single" w:sz="12" w:space="0" w:color="auto"/>
              <w:left w:val="single" w:sz="4" w:space="0" w:color="auto"/>
              <w:bottom w:val="nil"/>
              <w:right w:val="single" w:sz="12" w:space="0" w:color="auto"/>
            </w:tcBorders>
          </w:tcPr>
          <w:p w:rsidR="00A1100A" w:rsidRPr="00E21A30" w:rsidRDefault="00A1100A" w:rsidP="002E3265">
            <w:pPr>
              <w:tabs>
                <w:tab w:val="left" w:pos="-60"/>
              </w:tabs>
              <w:spacing w:after="0" w:line="240" w:lineRule="auto"/>
              <w:ind w:left="-60"/>
              <w:jc w:val="center"/>
              <w:rPr>
                <w:rFonts w:cs="Arial"/>
                <w:sz w:val="18"/>
                <w:szCs w:val="18"/>
              </w:rPr>
            </w:pPr>
          </w:p>
        </w:tc>
      </w:tr>
      <w:tr w:rsidR="00B44A2E" w:rsidRPr="0001193B" w:rsidTr="00B44A2E">
        <w:trPr>
          <w:trHeight w:val="255"/>
          <w:jc w:val="center"/>
        </w:trPr>
        <w:tc>
          <w:tcPr>
            <w:tcW w:w="657" w:type="dxa"/>
            <w:tcBorders>
              <w:top w:val="nil"/>
              <w:left w:val="single" w:sz="12" w:space="0" w:color="auto"/>
              <w:bottom w:val="nil"/>
              <w:right w:val="single" w:sz="8"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4050" w:type="dxa"/>
            <w:gridSpan w:val="2"/>
            <w:tcBorders>
              <w:top w:val="nil"/>
              <w:left w:val="single" w:sz="8" w:space="0" w:color="auto"/>
              <w:bottom w:val="nil"/>
              <w:right w:val="single" w:sz="8" w:space="0" w:color="auto"/>
            </w:tcBorders>
            <w:noWrap/>
            <w:tcMar>
              <w:top w:w="13" w:type="dxa"/>
              <w:left w:w="72" w:type="dxa"/>
              <w:bottom w:w="0" w:type="dxa"/>
              <w:right w:w="13" w:type="dxa"/>
            </w:tcMar>
          </w:tcPr>
          <w:p w:rsidR="00B44A2E" w:rsidRPr="00E21A30" w:rsidRDefault="00B44A2E" w:rsidP="00B44A2E">
            <w:pPr>
              <w:spacing w:after="0" w:line="240" w:lineRule="auto"/>
              <w:ind w:left="326"/>
              <w:rPr>
                <w:sz w:val="18"/>
                <w:szCs w:val="18"/>
              </w:rPr>
            </w:pPr>
            <w:r w:rsidRPr="00E21A30">
              <w:rPr>
                <w:sz w:val="18"/>
                <w:szCs w:val="18"/>
              </w:rPr>
              <w:t>State Employees</w:t>
            </w:r>
          </w:p>
        </w:tc>
        <w:tc>
          <w:tcPr>
            <w:tcW w:w="2563" w:type="dxa"/>
            <w:tcBorders>
              <w:top w:val="nil"/>
              <w:left w:val="single" w:sz="8" w:space="0" w:color="auto"/>
              <w:bottom w:val="nil"/>
              <w:right w:val="single" w:sz="4" w:space="0" w:color="auto"/>
            </w:tcBorders>
            <w:noWrap/>
            <w:tcMar>
              <w:top w:w="13" w:type="dxa"/>
              <w:left w:w="13" w:type="dxa"/>
              <w:bottom w:w="0" w:type="dxa"/>
              <w:right w:w="13" w:type="dxa"/>
            </w:tcMar>
          </w:tcPr>
          <w:p w:rsidR="00B44A2E" w:rsidRPr="00E21A30" w:rsidRDefault="00CB1236" w:rsidP="00B44A2E">
            <w:pPr>
              <w:tabs>
                <w:tab w:val="left" w:pos="-60"/>
              </w:tabs>
              <w:spacing w:after="0" w:line="240" w:lineRule="auto"/>
              <w:ind w:left="-60"/>
              <w:jc w:val="center"/>
              <w:rPr>
                <w:sz w:val="18"/>
                <w:szCs w:val="18"/>
                <w:highlight w:val="yellow"/>
              </w:rPr>
            </w:pPr>
            <w:r w:rsidRPr="00CB1236">
              <w:rPr>
                <w:sz w:val="18"/>
                <w:szCs w:val="18"/>
              </w:rPr>
              <w:t>6.58%</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8.76%</w:t>
            </w:r>
          </w:p>
        </w:tc>
      </w:tr>
      <w:tr w:rsidR="00B44A2E" w:rsidRPr="0001193B" w:rsidTr="00B44A2E">
        <w:trPr>
          <w:trHeight w:val="255"/>
          <w:jc w:val="center"/>
        </w:trPr>
        <w:tc>
          <w:tcPr>
            <w:tcW w:w="657" w:type="dxa"/>
            <w:tcBorders>
              <w:top w:val="nil"/>
              <w:left w:val="single" w:sz="12" w:space="0" w:color="auto"/>
              <w:bottom w:val="nil"/>
              <w:right w:val="single" w:sz="8"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4050" w:type="dxa"/>
            <w:gridSpan w:val="2"/>
            <w:tcBorders>
              <w:top w:val="nil"/>
              <w:left w:val="single" w:sz="8" w:space="0" w:color="auto"/>
              <w:bottom w:val="nil"/>
              <w:right w:val="single" w:sz="8" w:space="0" w:color="auto"/>
            </w:tcBorders>
            <w:noWrap/>
            <w:tcMar>
              <w:top w:w="13" w:type="dxa"/>
              <w:left w:w="72" w:type="dxa"/>
              <w:bottom w:w="0" w:type="dxa"/>
              <w:right w:w="13" w:type="dxa"/>
            </w:tcMar>
          </w:tcPr>
          <w:p w:rsidR="00B44A2E" w:rsidRPr="00E21A30" w:rsidRDefault="00B44A2E" w:rsidP="00B44A2E">
            <w:pPr>
              <w:spacing w:after="0" w:line="240" w:lineRule="auto"/>
              <w:ind w:left="326"/>
              <w:rPr>
                <w:sz w:val="18"/>
                <w:szCs w:val="18"/>
              </w:rPr>
            </w:pPr>
            <w:r w:rsidRPr="00E21A30">
              <w:rPr>
                <w:sz w:val="18"/>
                <w:szCs w:val="18"/>
              </w:rPr>
              <w:t>Virginia Law Officers Retirement (</w:t>
            </w:r>
            <w:proofErr w:type="spellStart"/>
            <w:r w:rsidRPr="00E21A30">
              <w:rPr>
                <w:sz w:val="18"/>
                <w:szCs w:val="18"/>
              </w:rPr>
              <w:t>VaLORS</w:t>
            </w:r>
            <w:proofErr w:type="spellEnd"/>
            <w:r w:rsidRPr="00E21A30">
              <w:rPr>
                <w:sz w:val="18"/>
                <w:szCs w:val="18"/>
              </w:rPr>
              <w:t>)</w:t>
            </w:r>
          </w:p>
        </w:tc>
        <w:tc>
          <w:tcPr>
            <w:tcW w:w="2563" w:type="dxa"/>
            <w:tcBorders>
              <w:top w:val="nil"/>
              <w:left w:val="single" w:sz="8" w:space="0" w:color="auto"/>
              <w:bottom w:val="nil"/>
              <w:right w:val="single" w:sz="4" w:space="0" w:color="auto"/>
            </w:tcBorders>
            <w:noWrap/>
            <w:tcMar>
              <w:top w:w="13" w:type="dxa"/>
              <w:left w:w="13" w:type="dxa"/>
              <w:bottom w:w="0" w:type="dxa"/>
              <w:right w:w="13" w:type="dxa"/>
            </w:tcMar>
          </w:tcPr>
          <w:p w:rsidR="00B44A2E" w:rsidRPr="00E21A30" w:rsidRDefault="00CB1236" w:rsidP="00B44A2E">
            <w:pPr>
              <w:tabs>
                <w:tab w:val="left" w:pos="-60"/>
              </w:tabs>
              <w:spacing w:after="0" w:line="240" w:lineRule="auto"/>
              <w:ind w:left="-60"/>
              <w:jc w:val="center"/>
              <w:rPr>
                <w:sz w:val="18"/>
                <w:szCs w:val="18"/>
                <w:highlight w:val="yellow"/>
              </w:rPr>
            </w:pPr>
            <w:r w:rsidRPr="00CB1236">
              <w:rPr>
                <w:sz w:val="18"/>
                <w:szCs w:val="18"/>
              </w:rPr>
              <w:t>13.09%</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14.80%</w:t>
            </w:r>
          </w:p>
        </w:tc>
      </w:tr>
      <w:tr w:rsidR="00B44A2E" w:rsidRPr="0001193B" w:rsidTr="00B44A2E">
        <w:trPr>
          <w:trHeight w:val="255"/>
          <w:jc w:val="center"/>
        </w:trPr>
        <w:tc>
          <w:tcPr>
            <w:tcW w:w="657" w:type="dxa"/>
            <w:tcBorders>
              <w:top w:val="nil"/>
              <w:left w:val="single" w:sz="12" w:space="0" w:color="auto"/>
              <w:bottom w:val="nil"/>
              <w:right w:val="single" w:sz="8"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4050" w:type="dxa"/>
            <w:gridSpan w:val="2"/>
            <w:tcBorders>
              <w:top w:val="nil"/>
              <w:left w:val="single" w:sz="8" w:space="0" w:color="auto"/>
              <w:bottom w:val="nil"/>
              <w:right w:val="single" w:sz="8" w:space="0" w:color="auto"/>
            </w:tcBorders>
            <w:noWrap/>
            <w:tcMar>
              <w:top w:w="13" w:type="dxa"/>
              <w:left w:w="72" w:type="dxa"/>
              <w:bottom w:w="0" w:type="dxa"/>
              <w:right w:w="13" w:type="dxa"/>
            </w:tcMar>
          </w:tcPr>
          <w:p w:rsidR="00B44A2E" w:rsidRPr="00E21A30" w:rsidRDefault="00B44A2E" w:rsidP="00B44A2E">
            <w:pPr>
              <w:spacing w:after="0" w:line="240" w:lineRule="auto"/>
              <w:ind w:left="326"/>
              <w:rPr>
                <w:sz w:val="18"/>
                <w:szCs w:val="18"/>
              </w:rPr>
            </w:pPr>
            <w:r w:rsidRPr="00E21A30">
              <w:rPr>
                <w:sz w:val="18"/>
                <w:szCs w:val="18"/>
              </w:rPr>
              <w:t>State Police (SPORS)</w:t>
            </w:r>
          </w:p>
        </w:tc>
        <w:tc>
          <w:tcPr>
            <w:tcW w:w="2563" w:type="dxa"/>
            <w:tcBorders>
              <w:top w:val="nil"/>
              <w:left w:val="single" w:sz="8" w:space="0" w:color="auto"/>
              <w:bottom w:val="nil"/>
              <w:right w:val="single" w:sz="4" w:space="0" w:color="auto"/>
            </w:tcBorders>
            <w:noWrap/>
            <w:tcMar>
              <w:top w:w="13" w:type="dxa"/>
              <w:left w:w="13" w:type="dxa"/>
              <w:bottom w:w="0" w:type="dxa"/>
              <w:right w:w="13" w:type="dxa"/>
            </w:tcMar>
          </w:tcPr>
          <w:p w:rsidR="00B44A2E" w:rsidRPr="00E21A30" w:rsidRDefault="00CB1236" w:rsidP="00B44A2E">
            <w:pPr>
              <w:tabs>
                <w:tab w:val="left" w:pos="-60"/>
              </w:tabs>
              <w:spacing w:after="0" w:line="240" w:lineRule="auto"/>
              <w:ind w:left="-60"/>
              <w:jc w:val="center"/>
              <w:rPr>
                <w:sz w:val="18"/>
                <w:szCs w:val="18"/>
                <w:highlight w:val="yellow"/>
              </w:rPr>
            </w:pPr>
            <w:r w:rsidRPr="00CB1236">
              <w:rPr>
                <w:sz w:val="18"/>
                <w:szCs w:val="18"/>
              </w:rPr>
              <w:t>21.16%</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24.74%</w:t>
            </w:r>
          </w:p>
        </w:tc>
      </w:tr>
      <w:tr w:rsidR="00B44A2E" w:rsidRPr="0001193B" w:rsidTr="00E21A30">
        <w:trPr>
          <w:trHeight w:val="167"/>
          <w:jc w:val="center"/>
        </w:trPr>
        <w:tc>
          <w:tcPr>
            <w:tcW w:w="657" w:type="dxa"/>
            <w:tcBorders>
              <w:top w:val="nil"/>
              <w:left w:val="single" w:sz="12" w:space="0" w:color="auto"/>
              <w:bottom w:val="single" w:sz="8" w:space="0" w:color="auto"/>
              <w:right w:val="single" w:sz="8"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4050" w:type="dxa"/>
            <w:gridSpan w:val="2"/>
            <w:tcBorders>
              <w:top w:val="nil"/>
              <w:left w:val="single" w:sz="8" w:space="0" w:color="auto"/>
              <w:bottom w:val="single" w:sz="8" w:space="0" w:color="auto"/>
              <w:right w:val="single" w:sz="8" w:space="0" w:color="auto"/>
            </w:tcBorders>
            <w:noWrap/>
            <w:tcMar>
              <w:top w:w="13" w:type="dxa"/>
              <w:left w:w="72" w:type="dxa"/>
              <w:bottom w:w="0" w:type="dxa"/>
              <w:right w:w="13" w:type="dxa"/>
            </w:tcMar>
          </w:tcPr>
          <w:p w:rsidR="00B44A2E" w:rsidRPr="00E21A30" w:rsidRDefault="00B44A2E" w:rsidP="00B44A2E">
            <w:pPr>
              <w:spacing w:after="0" w:line="240" w:lineRule="auto"/>
              <w:ind w:left="326"/>
              <w:rPr>
                <w:sz w:val="18"/>
                <w:szCs w:val="18"/>
              </w:rPr>
            </w:pPr>
            <w:r w:rsidRPr="00E21A30">
              <w:rPr>
                <w:sz w:val="18"/>
                <w:szCs w:val="18"/>
              </w:rPr>
              <w:t>Judges (JRS)</w:t>
            </w:r>
          </w:p>
        </w:tc>
        <w:tc>
          <w:tcPr>
            <w:tcW w:w="2563" w:type="dxa"/>
            <w:tcBorders>
              <w:top w:val="nil"/>
              <w:left w:val="single" w:sz="8" w:space="0" w:color="auto"/>
              <w:bottom w:val="single" w:sz="8" w:space="0" w:color="auto"/>
              <w:right w:val="single" w:sz="4" w:space="0" w:color="auto"/>
            </w:tcBorders>
            <w:noWrap/>
            <w:tcMar>
              <w:top w:w="13" w:type="dxa"/>
              <w:left w:w="13" w:type="dxa"/>
              <w:bottom w:w="0" w:type="dxa"/>
              <w:right w:w="13" w:type="dxa"/>
            </w:tcMar>
          </w:tcPr>
          <w:p w:rsidR="00B44A2E" w:rsidRPr="00E21A30" w:rsidRDefault="00CB1236" w:rsidP="00B44A2E">
            <w:pPr>
              <w:tabs>
                <w:tab w:val="left" w:pos="-60"/>
              </w:tabs>
              <w:spacing w:after="0" w:line="240" w:lineRule="auto"/>
              <w:ind w:left="-60"/>
              <w:jc w:val="center"/>
              <w:rPr>
                <w:sz w:val="18"/>
                <w:szCs w:val="18"/>
                <w:highlight w:val="yellow"/>
              </w:rPr>
            </w:pPr>
            <w:r w:rsidRPr="00CB1236">
              <w:rPr>
                <w:sz w:val="18"/>
                <w:szCs w:val="18"/>
              </w:rPr>
              <w:t>42.58%</w:t>
            </w:r>
          </w:p>
        </w:tc>
        <w:tc>
          <w:tcPr>
            <w:tcW w:w="2446" w:type="dxa"/>
            <w:tcBorders>
              <w:top w:val="nil"/>
              <w:left w:val="single" w:sz="4" w:space="0" w:color="auto"/>
              <w:bottom w:val="single" w:sz="8" w:space="0" w:color="auto"/>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45.44%</w:t>
            </w:r>
          </w:p>
        </w:tc>
      </w:tr>
      <w:tr w:rsidR="0083661F" w:rsidRPr="0001193B" w:rsidTr="00E21A30">
        <w:trPr>
          <w:trHeight w:val="117"/>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83661F" w:rsidRPr="00E21A30" w:rsidRDefault="0083661F" w:rsidP="00B44A2E">
            <w:pPr>
              <w:tabs>
                <w:tab w:val="left" w:pos="70"/>
              </w:tabs>
              <w:spacing w:after="0" w:line="240" w:lineRule="auto"/>
              <w:ind w:hanging="75"/>
              <w:jc w:val="center"/>
              <w:rPr>
                <w:rFonts w:cs="Arial"/>
                <w:b/>
                <w:bCs/>
                <w:sz w:val="18"/>
                <w:szCs w:val="18"/>
              </w:rPr>
            </w:pPr>
            <w:r w:rsidRPr="00E21A30">
              <w:rPr>
                <w:rFonts w:cs="Arial"/>
                <w:b/>
                <w:bCs/>
                <w:sz w:val="18"/>
                <w:szCs w:val="18"/>
              </w:rPr>
              <w:t>1112</w:t>
            </w:r>
          </w:p>
        </w:tc>
        <w:tc>
          <w:tcPr>
            <w:tcW w:w="4050"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83661F" w:rsidRPr="00E21A30" w:rsidRDefault="0083661F" w:rsidP="00B44A2E">
            <w:pPr>
              <w:spacing w:after="0" w:line="240" w:lineRule="auto"/>
              <w:ind w:left="108"/>
              <w:rPr>
                <w:rFonts w:cs="Arial"/>
                <w:b/>
                <w:bCs/>
                <w:sz w:val="18"/>
                <w:szCs w:val="18"/>
              </w:rPr>
            </w:pPr>
            <w:r w:rsidRPr="00E21A30">
              <w:rPr>
                <w:rFonts w:cs="Arial"/>
                <w:b/>
                <w:bCs/>
                <w:sz w:val="18"/>
                <w:szCs w:val="18"/>
              </w:rPr>
              <w:t xml:space="preserve">Social Security </w:t>
            </w:r>
            <w:r w:rsidR="00B44A2E" w:rsidRPr="00E21A30">
              <w:rPr>
                <w:rFonts w:cs="Arial"/>
                <w:b/>
                <w:bCs/>
                <w:sz w:val="18"/>
                <w:szCs w:val="18"/>
                <w:vertAlign w:val="superscript"/>
              </w:rPr>
              <w:t>2</w:t>
            </w:r>
          </w:p>
        </w:tc>
        <w:tc>
          <w:tcPr>
            <w:tcW w:w="5009" w:type="dxa"/>
            <w:gridSpan w:val="2"/>
            <w:tcBorders>
              <w:top w:val="single" w:sz="8" w:space="0" w:color="auto"/>
              <w:left w:val="single" w:sz="8" w:space="0" w:color="auto"/>
              <w:bottom w:val="single" w:sz="8" w:space="0" w:color="auto"/>
              <w:right w:val="single" w:sz="12" w:space="0" w:color="auto"/>
            </w:tcBorders>
            <w:noWrap/>
            <w:tcMar>
              <w:top w:w="43" w:type="dxa"/>
              <w:left w:w="13" w:type="dxa"/>
              <w:bottom w:w="43" w:type="dxa"/>
              <w:right w:w="13" w:type="dxa"/>
            </w:tcMar>
          </w:tcPr>
          <w:p w:rsidR="0083661F" w:rsidRPr="00E21A30" w:rsidRDefault="0083661F" w:rsidP="00B44A2E">
            <w:pPr>
              <w:tabs>
                <w:tab w:val="left" w:pos="-60"/>
              </w:tabs>
              <w:spacing w:after="0" w:line="240" w:lineRule="auto"/>
              <w:ind w:left="-60"/>
              <w:jc w:val="center"/>
              <w:rPr>
                <w:sz w:val="18"/>
                <w:szCs w:val="18"/>
              </w:rPr>
            </w:pPr>
            <w:r w:rsidRPr="00E21A30">
              <w:rPr>
                <w:sz w:val="18"/>
                <w:szCs w:val="18"/>
              </w:rPr>
              <w:t xml:space="preserve">6.20% </w:t>
            </w:r>
            <w:r w:rsidRPr="00E21A30">
              <w:rPr>
                <w:b/>
                <w:bCs/>
                <w:sz w:val="18"/>
                <w:szCs w:val="18"/>
              </w:rPr>
              <w:t>capped</w:t>
            </w:r>
            <w:r w:rsidRPr="00E21A30">
              <w:rPr>
                <w:sz w:val="18"/>
                <w:szCs w:val="18"/>
              </w:rPr>
              <w:t xml:space="preserve"> at $113,700</w:t>
            </w:r>
          </w:p>
        </w:tc>
      </w:tr>
      <w:tr w:rsidR="00B44A2E" w:rsidRPr="0001193B" w:rsidTr="00E21A30">
        <w:trPr>
          <w:trHeight w:val="153"/>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B44A2E" w:rsidRPr="00E21A30" w:rsidRDefault="00B44A2E" w:rsidP="00B44A2E">
            <w:pPr>
              <w:tabs>
                <w:tab w:val="left" w:pos="70"/>
              </w:tabs>
              <w:spacing w:after="0" w:line="240" w:lineRule="auto"/>
              <w:ind w:hanging="75"/>
              <w:jc w:val="center"/>
              <w:rPr>
                <w:rFonts w:cs="Arial"/>
                <w:b/>
                <w:bCs/>
                <w:sz w:val="18"/>
                <w:szCs w:val="18"/>
              </w:rPr>
            </w:pPr>
            <w:r w:rsidRPr="00E21A30">
              <w:rPr>
                <w:rFonts w:cs="Arial"/>
                <w:b/>
                <w:bCs/>
                <w:sz w:val="18"/>
                <w:szCs w:val="18"/>
              </w:rPr>
              <w:t>1112</w:t>
            </w:r>
          </w:p>
        </w:tc>
        <w:tc>
          <w:tcPr>
            <w:tcW w:w="4050"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B44A2E" w:rsidRPr="00E21A30" w:rsidRDefault="00B44A2E" w:rsidP="00B44A2E">
            <w:pPr>
              <w:spacing w:after="0" w:line="240" w:lineRule="auto"/>
              <w:ind w:left="108"/>
              <w:rPr>
                <w:rFonts w:cs="Arial"/>
                <w:b/>
                <w:bCs/>
                <w:sz w:val="18"/>
                <w:szCs w:val="18"/>
              </w:rPr>
            </w:pPr>
            <w:r w:rsidRPr="00E21A30">
              <w:rPr>
                <w:rFonts w:cs="Arial"/>
                <w:b/>
                <w:bCs/>
                <w:sz w:val="18"/>
                <w:szCs w:val="18"/>
              </w:rPr>
              <w:t>Medicare</w:t>
            </w:r>
          </w:p>
        </w:tc>
        <w:tc>
          <w:tcPr>
            <w:tcW w:w="2563" w:type="dxa"/>
            <w:tcBorders>
              <w:top w:val="single" w:sz="8" w:space="0" w:color="auto"/>
              <w:left w:val="single" w:sz="8" w:space="0" w:color="auto"/>
              <w:bottom w:val="single" w:sz="8" w:space="0" w:color="auto"/>
              <w:right w:val="single" w:sz="4" w:space="0" w:color="auto"/>
            </w:tcBorders>
            <w:noWrap/>
            <w:tcMar>
              <w:top w:w="43" w:type="dxa"/>
              <w:left w:w="13" w:type="dxa"/>
              <w:bottom w:w="43" w:type="dxa"/>
              <w:right w:w="13" w:type="dxa"/>
            </w:tcMar>
          </w:tcPr>
          <w:p w:rsidR="00B44A2E" w:rsidRPr="00E21A30" w:rsidRDefault="00B44A2E" w:rsidP="00B44A2E">
            <w:pPr>
              <w:tabs>
                <w:tab w:val="left" w:pos="-60"/>
              </w:tabs>
              <w:spacing w:after="0" w:line="240" w:lineRule="auto"/>
              <w:ind w:left="-60"/>
              <w:jc w:val="center"/>
              <w:rPr>
                <w:sz w:val="18"/>
                <w:szCs w:val="18"/>
                <w:highlight w:val="yellow"/>
              </w:rPr>
            </w:pPr>
            <w:r w:rsidRPr="005B4E55">
              <w:rPr>
                <w:sz w:val="18"/>
                <w:szCs w:val="18"/>
              </w:rPr>
              <w:t>1.45%</w:t>
            </w:r>
          </w:p>
        </w:tc>
        <w:tc>
          <w:tcPr>
            <w:tcW w:w="2446" w:type="dxa"/>
            <w:tcBorders>
              <w:top w:val="single" w:sz="8" w:space="0" w:color="auto"/>
              <w:left w:val="single" w:sz="4" w:space="0" w:color="auto"/>
              <w:bottom w:val="single" w:sz="8" w:space="0" w:color="auto"/>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1.45%</w:t>
            </w:r>
          </w:p>
        </w:tc>
      </w:tr>
      <w:tr w:rsidR="00B44A2E" w:rsidRPr="0001193B" w:rsidTr="00E21A30">
        <w:trPr>
          <w:trHeight w:val="153"/>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B44A2E" w:rsidRPr="00E21A30" w:rsidRDefault="00B44A2E" w:rsidP="00B44A2E">
            <w:pPr>
              <w:tabs>
                <w:tab w:val="left" w:pos="70"/>
              </w:tabs>
              <w:spacing w:after="0" w:line="240" w:lineRule="auto"/>
              <w:ind w:hanging="75"/>
              <w:jc w:val="center"/>
              <w:rPr>
                <w:rFonts w:cs="Arial"/>
                <w:b/>
                <w:bCs/>
                <w:sz w:val="18"/>
                <w:szCs w:val="18"/>
              </w:rPr>
            </w:pPr>
            <w:r w:rsidRPr="00E21A30">
              <w:rPr>
                <w:rFonts w:cs="Arial"/>
                <w:b/>
                <w:bCs/>
                <w:sz w:val="18"/>
                <w:szCs w:val="18"/>
              </w:rPr>
              <w:t>1114</w:t>
            </w:r>
          </w:p>
        </w:tc>
        <w:tc>
          <w:tcPr>
            <w:tcW w:w="4050" w:type="dxa"/>
            <w:gridSpan w:val="2"/>
            <w:tcBorders>
              <w:top w:val="single" w:sz="8" w:space="0" w:color="auto"/>
              <w:left w:val="single" w:sz="8" w:space="0" w:color="auto"/>
              <w:bottom w:val="single" w:sz="4" w:space="0" w:color="auto"/>
              <w:right w:val="single" w:sz="8" w:space="0" w:color="auto"/>
            </w:tcBorders>
            <w:noWrap/>
            <w:tcMar>
              <w:top w:w="43" w:type="dxa"/>
              <w:left w:w="72" w:type="dxa"/>
              <w:bottom w:w="43" w:type="dxa"/>
              <w:right w:w="13" w:type="dxa"/>
            </w:tcMar>
          </w:tcPr>
          <w:p w:rsidR="00B44A2E" w:rsidRPr="00E21A30" w:rsidRDefault="00B44A2E" w:rsidP="00B44A2E">
            <w:pPr>
              <w:spacing w:after="0" w:line="240" w:lineRule="auto"/>
              <w:ind w:left="108"/>
              <w:rPr>
                <w:rFonts w:cs="Arial"/>
                <w:b/>
                <w:bCs/>
                <w:sz w:val="18"/>
                <w:szCs w:val="18"/>
              </w:rPr>
            </w:pPr>
            <w:r w:rsidRPr="00E21A30">
              <w:rPr>
                <w:rFonts w:cs="Arial"/>
                <w:b/>
                <w:bCs/>
                <w:sz w:val="18"/>
                <w:szCs w:val="18"/>
              </w:rPr>
              <w:t>Group Life</w:t>
            </w:r>
          </w:p>
        </w:tc>
        <w:tc>
          <w:tcPr>
            <w:tcW w:w="2563" w:type="dxa"/>
            <w:tcBorders>
              <w:top w:val="single" w:sz="8" w:space="0" w:color="auto"/>
              <w:left w:val="single" w:sz="8" w:space="0" w:color="auto"/>
              <w:bottom w:val="single" w:sz="8" w:space="0" w:color="auto"/>
              <w:right w:val="single" w:sz="4" w:space="0" w:color="auto"/>
            </w:tcBorders>
            <w:noWrap/>
            <w:tcMar>
              <w:top w:w="43" w:type="dxa"/>
              <w:left w:w="13" w:type="dxa"/>
              <w:bottom w:w="43" w:type="dxa"/>
              <w:right w:w="13" w:type="dxa"/>
            </w:tcMar>
          </w:tcPr>
          <w:p w:rsidR="00B44A2E" w:rsidRPr="00E21A30" w:rsidRDefault="00B44A2E" w:rsidP="00CB1236">
            <w:pPr>
              <w:tabs>
                <w:tab w:val="left" w:pos="-60"/>
              </w:tabs>
              <w:spacing w:after="0" w:line="240" w:lineRule="auto"/>
              <w:ind w:left="-60"/>
              <w:jc w:val="center"/>
              <w:rPr>
                <w:sz w:val="18"/>
                <w:szCs w:val="18"/>
                <w:highlight w:val="yellow"/>
              </w:rPr>
            </w:pPr>
            <w:r w:rsidRPr="00CB1236">
              <w:rPr>
                <w:sz w:val="18"/>
                <w:szCs w:val="18"/>
              </w:rPr>
              <w:t>1.</w:t>
            </w:r>
            <w:r w:rsidR="00CB1236" w:rsidRPr="00CB1236">
              <w:rPr>
                <w:sz w:val="18"/>
                <w:szCs w:val="18"/>
              </w:rPr>
              <w:t>02</w:t>
            </w:r>
            <w:r w:rsidRPr="00CB1236">
              <w:rPr>
                <w:sz w:val="18"/>
                <w:szCs w:val="18"/>
              </w:rPr>
              <w:t>%</w:t>
            </w:r>
          </w:p>
        </w:tc>
        <w:tc>
          <w:tcPr>
            <w:tcW w:w="2446" w:type="dxa"/>
            <w:tcBorders>
              <w:top w:val="single" w:sz="8" w:space="0" w:color="auto"/>
              <w:left w:val="single" w:sz="4" w:space="0" w:color="auto"/>
              <w:bottom w:val="single" w:sz="8" w:space="0" w:color="auto"/>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1.19%</w:t>
            </w:r>
          </w:p>
        </w:tc>
      </w:tr>
      <w:tr w:rsidR="00A1100A" w:rsidRPr="0001193B" w:rsidTr="00E21A30">
        <w:trPr>
          <w:trHeight w:val="180"/>
          <w:jc w:val="center"/>
        </w:trPr>
        <w:tc>
          <w:tcPr>
            <w:tcW w:w="657" w:type="dxa"/>
            <w:tcBorders>
              <w:top w:val="single" w:sz="8" w:space="0" w:color="auto"/>
              <w:left w:val="single" w:sz="12" w:space="0" w:color="auto"/>
              <w:bottom w:val="nil"/>
              <w:right w:val="single" w:sz="4" w:space="0" w:color="auto"/>
            </w:tcBorders>
            <w:noWrap/>
            <w:tcMar>
              <w:top w:w="43" w:type="dxa"/>
              <w:left w:w="13" w:type="dxa"/>
              <w:bottom w:w="43" w:type="dxa"/>
              <w:right w:w="13" w:type="dxa"/>
            </w:tcMar>
          </w:tcPr>
          <w:p w:rsidR="00A1100A" w:rsidRPr="00E21A30" w:rsidRDefault="00A1100A" w:rsidP="00B44A2E">
            <w:pPr>
              <w:tabs>
                <w:tab w:val="left" w:pos="70"/>
              </w:tabs>
              <w:spacing w:after="0" w:line="240" w:lineRule="auto"/>
              <w:ind w:hanging="75"/>
              <w:jc w:val="center"/>
              <w:rPr>
                <w:rFonts w:cs="Arial"/>
                <w:b/>
                <w:bCs/>
                <w:sz w:val="18"/>
                <w:szCs w:val="18"/>
              </w:rPr>
            </w:pPr>
            <w:r w:rsidRPr="00E21A30">
              <w:rPr>
                <w:rFonts w:cs="Arial"/>
                <w:b/>
                <w:bCs/>
                <w:sz w:val="18"/>
                <w:szCs w:val="18"/>
              </w:rPr>
              <w:t>1115</w:t>
            </w:r>
          </w:p>
        </w:tc>
        <w:tc>
          <w:tcPr>
            <w:tcW w:w="4050" w:type="dxa"/>
            <w:gridSpan w:val="2"/>
            <w:tcBorders>
              <w:top w:val="single" w:sz="4" w:space="0" w:color="auto"/>
              <w:left w:val="single" w:sz="4" w:space="0" w:color="auto"/>
              <w:right w:val="single" w:sz="4" w:space="0" w:color="auto"/>
            </w:tcBorders>
            <w:noWrap/>
            <w:tcMar>
              <w:top w:w="43" w:type="dxa"/>
              <w:left w:w="72" w:type="dxa"/>
              <w:bottom w:w="43" w:type="dxa"/>
              <w:right w:w="13" w:type="dxa"/>
            </w:tcMar>
          </w:tcPr>
          <w:p w:rsidR="00A1100A" w:rsidRPr="00E21A30" w:rsidRDefault="00A1100A" w:rsidP="00B44A2E">
            <w:pPr>
              <w:spacing w:after="0" w:line="240" w:lineRule="auto"/>
              <w:ind w:left="108"/>
              <w:rPr>
                <w:rFonts w:cs="Arial"/>
                <w:b/>
                <w:bCs/>
                <w:sz w:val="18"/>
                <w:szCs w:val="18"/>
              </w:rPr>
            </w:pPr>
            <w:r w:rsidRPr="00E21A30">
              <w:rPr>
                <w:rFonts w:cs="Arial"/>
                <w:b/>
                <w:bCs/>
                <w:sz w:val="18"/>
                <w:szCs w:val="18"/>
              </w:rPr>
              <w:t xml:space="preserve">Annual Employer Health Insurance Premiums </w:t>
            </w:r>
          </w:p>
        </w:tc>
        <w:tc>
          <w:tcPr>
            <w:tcW w:w="2563" w:type="dxa"/>
            <w:tcBorders>
              <w:top w:val="single" w:sz="8" w:space="0" w:color="auto"/>
              <w:left w:val="single" w:sz="4" w:space="0" w:color="auto"/>
              <w:bottom w:val="nil"/>
              <w:right w:val="single" w:sz="4" w:space="0" w:color="auto"/>
            </w:tcBorders>
            <w:noWrap/>
            <w:tcMar>
              <w:top w:w="43" w:type="dxa"/>
              <w:left w:w="13" w:type="dxa"/>
              <w:bottom w:w="43" w:type="dxa"/>
              <w:right w:w="13" w:type="dxa"/>
            </w:tcMar>
          </w:tcPr>
          <w:p w:rsidR="00A1100A" w:rsidRPr="00E21A30" w:rsidRDefault="00A1100A" w:rsidP="00B44A2E">
            <w:pPr>
              <w:tabs>
                <w:tab w:val="left" w:pos="-60"/>
              </w:tabs>
              <w:spacing w:after="0" w:line="240" w:lineRule="auto"/>
              <w:ind w:left="-60"/>
              <w:jc w:val="center"/>
              <w:rPr>
                <w:sz w:val="18"/>
                <w:szCs w:val="18"/>
              </w:rPr>
            </w:pPr>
          </w:p>
        </w:tc>
        <w:tc>
          <w:tcPr>
            <w:tcW w:w="2446" w:type="dxa"/>
            <w:tcBorders>
              <w:top w:val="single" w:sz="8" w:space="0" w:color="auto"/>
              <w:left w:val="single" w:sz="4" w:space="0" w:color="auto"/>
              <w:bottom w:val="nil"/>
              <w:right w:val="single" w:sz="12" w:space="0" w:color="auto"/>
            </w:tcBorders>
          </w:tcPr>
          <w:p w:rsidR="00A1100A" w:rsidRPr="00E21A30" w:rsidRDefault="00A1100A" w:rsidP="00B44A2E">
            <w:pPr>
              <w:tabs>
                <w:tab w:val="left" w:pos="-60"/>
              </w:tabs>
              <w:spacing w:after="0" w:line="240" w:lineRule="auto"/>
              <w:ind w:left="-60"/>
              <w:jc w:val="center"/>
              <w:rPr>
                <w:sz w:val="18"/>
                <w:szCs w:val="18"/>
              </w:rPr>
            </w:pPr>
          </w:p>
        </w:tc>
      </w:tr>
      <w:tr w:rsidR="00B44A2E" w:rsidRPr="0001193B"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vMerge w:val="restart"/>
            <w:tcBorders>
              <w:left w:val="single" w:sz="4" w:space="0" w:color="auto"/>
            </w:tcBorders>
            <w:noWrap/>
            <w:tcMar>
              <w:top w:w="13" w:type="dxa"/>
              <w:left w:w="72" w:type="dxa"/>
              <w:bottom w:w="0" w:type="dxa"/>
              <w:right w:w="13" w:type="dxa"/>
            </w:tcMar>
          </w:tcPr>
          <w:p w:rsidR="00B44A2E" w:rsidRPr="00E21A30" w:rsidRDefault="00B44A2E" w:rsidP="00B44A2E">
            <w:pPr>
              <w:spacing w:after="0" w:line="240" w:lineRule="auto"/>
              <w:ind w:left="344" w:right="162"/>
              <w:rPr>
                <w:sz w:val="18"/>
                <w:szCs w:val="18"/>
              </w:rPr>
            </w:pPr>
            <w:r w:rsidRPr="00E21A30">
              <w:rPr>
                <w:b/>
                <w:i/>
                <w:sz w:val="18"/>
                <w:szCs w:val="18"/>
              </w:rPr>
              <w:t xml:space="preserve">COVA Care </w:t>
            </w:r>
          </w:p>
        </w:tc>
        <w:tc>
          <w:tcPr>
            <w:tcW w:w="1530" w:type="dxa"/>
            <w:tcBorders>
              <w:top w:val="nil"/>
              <w:left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Single</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CC63DA" w:rsidP="00B44A2E">
            <w:pPr>
              <w:tabs>
                <w:tab w:val="left" w:pos="-60"/>
              </w:tabs>
              <w:spacing w:after="0" w:line="240" w:lineRule="auto"/>
              <w:ind w:left="-60"/>
              <w:jc w:val="center"/>
              <w:rPr>
                <w:sz w:val="18"/>
                <w:szCs w:val="18"/>
                <w:highlight w:val="yellow"/>
              </w:rPr>
            </w:pPr>
            <w:r>
              <w:rPr>
                <w:sz w:val="18"/>
                <w:szCs w:val="18"/>
              </w:rPr>
              <w:t>$</w:t>
            </w:r>
            <w:r w:rsidRPr="00CC63DA">
              <w:rPr>
                <w:sz w:val="18"/>
                <w:szCs w:val="18"/>
              </w:rPr>
              <w:t>4</w:t>
            </w:r>
            <w:r>
              <w:rPr>
                <w:sz w:val="18"/>
                <w:szCs w:val="18"/>
              </w:rPr>
              <w:t>,</w:t>
            </w:r>
            <w:r w:rsidRPr="00CC63DA">
              <w:rPr>
                <w:sz w:val="18"/>
                <w:szCs w:val="18"/>
              </w:rPr>
              <w:t>596</w:t>
            </w:r>
          </w:p>
        </w:tc>
        <w:tc>
          <w:tcPr>
            <w:tcW w:w="2446" w:type="dxa"/>
            <w:tcBorders>
              <w:top w:val="nil"/>
              <w:left w:val="single" w:sz="4" w:space="0" w:color="auto"/>
              <w:bottom w:val="nil"/>
              <w:right w:val="single" w:sz="12" w:space="0" w:color="auto"/>
            </w:tcBorders>
          </w:tcPr>
          <w:p w:rsidR="00B44A2E" w:rsidRPr="00E21A30" w:rsidRDefault="00B44A2E" w:rsidP="002906E0">
            <w:pPr>
              <w:tabs>
                <w:tab w:val="left" w:pos="-60"/>
              </w:tabs>
              <w:spacing w:after="0" w:line="240" w:lineRule="auto"/>
              <w:ind w:left="-60"/>
              <w:jc w:val="center"/>
              <w:rPr>
                <w:sz w:val="18"/>
                <w:szCs w:val="18"/>
              </w:rPr>
            </w:pPr>
            <w:r w:rsidRPr="00E21A30">
              <w:rPr>
                <w:sz w:val="18"/>
                <w:szCs w:val="18"/>
              </w:rPr>
              <w:t>$6,0</w:t>
            </w:r>
            <w:r w:rsidR="002906E0">
              <w:rPr>
                <w:sz w:val="18"/>
                <w:szCs w:val="18"/>
              </w:rPr>
              <w:t>24</w:t>
            </w:r>
          </w:p>
        </w:tc>
      </w:tr>
      <w:tr w:rsidR="00B44A2E" w:rsidRPr="0001193B"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vMerge/>
            <w:tcBorders>
              <w:left w:val="single" w:sz="4" w:space="0" w:color="auto"/>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18"/>
                <w:szCs w:val="18"/>
              </w:rPr>
            </w:pPr>
          </w:p>
        </w:tc>
        <w:tc>
          <w:tcPr>
            <w:tcW w:w="1530" w:type="dxa"/>
            <w:tcBorders>
              <w:top w:val="nil"/>
              <w:left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Employee + One</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CC63DA" w:rsidP="00B44A2E">
            <w:pPr>
              <w:tabs>
                <w:tab w:val="left" w:pos="-60"/>
              </w:tabs>
              <w:spacing w:after="0" w:line="240" w:lineRule="auto"/>
              <w:ind w:left="-60"/>
              <w:jc w:val="center"/>
              <w:rPr>
                <w:sz w:val="18"/>
                <w:szCs w:val="18"/>
                <w:highlight w:val="yellow"/>
              </w:rPr>
            </w:pPr>
            <w:r>
              <w:rPr>
                <w:sz w:val="18"/>
                <w:szCs w:val="18"/>
              </w:rPr>
              <w:t>$</w:t>
            </w:r>
            <w:r w:rsidRPr="00CC63DA">
              <w:rPr>
                <w:sz w:val="18"/>
                <w:szCs w:val="18"/>
              </w:rPr>
              <w:t>8</w:t>
            </w:r>
            <w:r>
              <w:rPr>
                <w:sz w:val="18"/>
                <w:szCs w:val="18"/>
              </w:rPr>
              <w:t>,</w:t>
            </w:r>
            <w:r w:rsidRPr="00CC63DA">
              <w:rPr>
                <w:sz w:val="18"/>
                <w:szCs w:val="18"/>
              </w:rPr>
              <w:t>232</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$10,812</w:t>
            </w:r>
          </w:p>
        </w:tc>
      </w:tr>
      <w:tr w:rsidR="00B44A2E" w:rsidRPr="0001193B" w:rsidTr="00B44A2E">
        <w:trPr>
          <w:trHeight w:val="230"/>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tcBorders>
              <w:left w:val="single" w:sz="4" w:space="0" w:color="auto"/>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18"/>
                <w:szCs w:val="18"/>
              </w:rPr>
            </w:pPr>
          </w:p>
        </w:tc>
        <w:tc>
          <w:tcPr>
            <w:tcW w:w="1530" w:type="dxa"/>
            <w:tcBorders>
              <w:top w:val="nil"/>
              <w:left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Family</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CC63DA" w:rsidP="00B44A2E">
            <w:pPr>
              <w:tabs>
                <w:tab w:val="left" w:pos="-60"/>
              </w:tabs>
              <w:spacing w:after="0" w:line="240" w:lineRule="auto"/>
              <w:ind w:left="-60"/>
              <w:jc w:val="center"/>
              <w:rPr>
                <w:sz w:val="18"/>
                <w:szCs w:val="18"/>
                <w:highlight w:val="yellow"/>
              </w:rPr>
            </w:pPr>
            <w:r>
              <w:rPr>
                <w:sz w:val="18"/>
                <w:szCs w:val="18"/>
              </w:rPr>
              <w:t>$</w:t>
            </w:r>
            <w:r w:rsidRPr="00CC63DA">
              <w:rPr>
                <w:sz w:val="18"/>
                <w:szCs w:val="18"/>
              </w:rPr>
              <w:t>12</w:t>
            </w:r>
            <w:r>
              <w:rPr>
                <w:sz w:val="18"/>
                <w:szCs w:val="18"/>
              </w:rPr>
              <w:t>,</w:t>
            </w:r>
            <w:r w:rsidRPr="00CC63DA">
              <w:rPr>
                <w:sz w:val="18"/>
                <w:szCs w:val="18"/>
              </w:rPr>
              <w:t>024</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$15,852</w:t>
            </w:r>
          </w:p>
        </w:tc>
      </w:tr>
      <w:tr w:rsidR="00B44A2E" w:rsidRPr="00E21A30" w:rsidTr="00B44A2E">
        <w:trPr>
          <w:trHeight w:val="67"/>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6"/>
                <w:szCs w:val="6"/>
              </w:rPr>
            </w:pPr>
          </w:p>
        </w:tc>
        <w:tc>
          <w:tcPr>
            <w:tcW w:w="2520" w:type="dxa"/>
            <w:tcBorders>
              <w:left w:val="single" w:sz="4" w:space="0" w:color="auto"/>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6"/>
                <w:szCs w:val="6"/>
              </w:rPr>
            </w:pP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6"/>
                <w:szCs w:val="6"/>
              </w:rPr>
            </w:pP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60"/>
              </w:tabs>
              <w:spacing w:after="0" w:line="240" w:lineRule="auto"/>
              <w:ind w:left="-60"/>
              <w:jc w:val="center"/>
              <w:rPr>
                <w:sz w:val="6"/>
                <w:szCs w:val="6"/>
                <w:highlight w:val="yellow"/>
              </w:rPr>
            </w:pP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6"/>
                <w:szCs w:val="6"/>
              </w:rPr>
            </w:pPr>
          </w:p>
        </w:tc>
      </w:tr>
      <w:tr w:rsidR="00B44A2E" w:rsidRPr="0001193B" w:rsidTr="00B44A2E">
        <w:trPr>
          <w:trHeight w:val="212"/>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vMerge w:val="restart"/>
            <w:tcBorders>
              <w:left w:val="single" w:sz="4" w:space="0" w:color="auto"/>
            </w:tcBorders>
            <w:noWrap/>
            <w:tcMar>
              <w:top w:w="13" w:type="dxa"/>
              <w:left w:w="72" w:type="dxa"/>
              <w:bottom w:w="0" w:type="dxa"/>
              <w:right w:w="13" w:type="dxa"/>
            </w:tcMar>
          </w:tcPr>
          <w:p w:rsidR="00B44A2E" w:rsidRPr="00E21A30" w:rsidRDefault="00B44A2E" w:rsidP="00B44A2E">
            <w:pPr>
              <w:spacing w:after="0" w:line="240" w:lineRule="auto"/>
              <w:ind w:left="344" w:right="162"/>
              <w:rPr>
                <w:b/>
                <w:i/>
                <w:sz w:val="18"/>
                <w:szCs w:val="18"/>
              </w:rPr>
            </w:pPr>
            <w:r w:rsidRPr="00E21A30">
              <w:rPr>
                <w:b/>
                <w:i/>
                <w:sz w:val="18"/>
                <w:szCs w:val="18"/>
              </w:rPr>
              <w:t>COVA High Deductible</w:t>
            </w: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Single</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780AD4" w:rsidP="00B44A2E">
            <w:pPr>
              <w:tabs>
                <w:tab w:val="left" w:pos="-60"/>
              </w:tabs>
              <w:spacing w:after="0" w:line="240" w:lineRule="auto"/>
              <w:ind w:left="-60"/>
              <w:jc w:val="center"/>
              <w:rPr>
                <w:sz w:val="18"/>
                <w:szCs w:val="18"/>
                <w:highlight w:val="yellow"/>
              </w:rPr>
            </w:pPr>
            <w:r>
              <w:rPr>
                <w:sz w:val="18"/>
                <w:szCs w:val="18"/>
              </w:rPr>
              <w:t>$</w:t>
            </w:r>
            <w:r w:rsidRPr="00780AD4">
              <w:rPr>
                <w:sz w:val="18"/>
                <w:szCs w:val="18"/>
              </w:rPr>
              <w:t>3</w:t>
            </w:r>
            <w:r>
              <w:rPr>
                <w:sz w:val="18"/>
                <w:szCs w:val="18"/>
              </w:rPr>
              <w:t>,</w:t>
            </w:r>
            <w:r w:rsidRPr="00780AD4">
              <w:rPr>
                <w:sz w:val="18"/>
                <w:szCs w:val="18"/>
              </w:rPr>
              <w:t>924</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$5,172</w:t>
            </w:r>
          </w:p>
        </w:tc>
      </w:tr>
      <w:tr w:rsidR="00B44A2E" w:rsidRPr="0001193B"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vMerge/>
            <w:tcBorders>
              <w:left w:val="single" w:sz="4" w:space="0" w:color="auto"/>
              <w:bottom w:val="nil"/>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Employee + One</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780AD4" w:rsidP="00B44A2E">
            <w:pPr>
              <w:tabs>
                <w:tab w:val="left" w:pos="-60"/>
              </w:tabs>
              <w:spacing w:after="0" w:line="240" w:lineRule="auto"/>
              <w:ind w:left="-60"/>
              <w:jc w:val="center"/>
              <w:rPr>
                <w:sz w:val="18"/>
                <w:szCs w:val="18"/>
                <w:highlight w:val="yellow"/>
              </w:rPr>
            </w:pPr>
            <w:r>
              <w:rPr>
                <w:sz w:val="18"/>
                <w:szCs w:val="18"/>
              </w:rPr>
              <w:t>$</w:t>
            </w:r>
            <w:r w:rsidRPr="00780AD4">
              <w:rPr>
                <w:sz w:val="18"/>
                <w:szCs w:val="18"/>
              </w:rPr>
              <w:t>7</w:t>
            </w:r>
            <w:r>
              <w:rPr>
                <w:sz w:val="18"/>
                <w:szCs w:val="18"/>
              </w:rPr>
              <w:t>,</w:t>
            </w:r>
            <w:r w:rsidRPr="00780AD4">
              <w:rPr>
                <w:sz w:val="18"/>
                <w:szCs w:val="18"/>
              </w:rPr>
              <w:t>272</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$9,600</w:t>
            </w:r>
          </w:p>
        </w:tc>
      </w:tr>
      <w:tr w:rsidR="00B44A2E" w:rsidRPr="00CB519F"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tcBorders>
              <w:top w:val="nil"/>
              <w:left w:val="single" w:sz="4" w:space="0" w:color="auto"/>
              <w:bottom w:val="nil"/>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Family</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780AD4" w:rsidP="00B44A2E">
            <w:pPr>
              <w:tabs>
                <w:tab w:val="left" w:pos="-60"/>
              </w:tabs>
              <w:spacing w:after="0" w:line="240" w:lineRule="auto"/>
              <w:ind w:left="-60"/>
              <w:jc w:val="center"/>
              <w:rPr>
                <w:sz w:val="18"/>
                <w:szCs w:val="18"/>
                <w:highlight w:val="yellow"/>
              </w:rPr>
            </w:pPr>
            <w:r>
              <w:rPr>
                <w:sz w:val="18"/>
                <w:szCs w:val="18"/>
              </w:rPr>
              <w:t>$</w:t>
            </w:r>
            <w:r w:rsidRPr="00780AD4">
              <w:rPr>
                <w:sz w:val="18"/>
                <w:szCs w:val="18"/>
              </w:rPr>
              <w:t>10</w:t>
            </w:r>
            <w:r>
              <w:rPr>
                <w:sz w:val="18"/>
                <w:szCs w:val="18"/>
              </w:rPr>
              <w:t>,</w:t>
            </w:r>
            <w:r w:rsidRPr="00780AD4">
              <w:rPr>
                <w:sz w:val="18"/>
                <w:szCs w:val="18"/>
              </w:rPr>
              <w:t>632</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$14,028</w:t>
            </w:r>
          </w:p>
        </w:tc>
      </w:tr>
      <w:tr w:rsidR="00B44A2E" w:rsidRPr="00E21A30" w:rsidTr="00B44A2E">
        <w:trPr>
          <w:trHeight w:val="77"/>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6"/>
                <w:szCs w:val="6"/>
              </w:rPr>
            </w:pPr>
          </w:p>
        </w:tc>
        <w:tc>
          <w:tcPr>
            <w:tcW w:w="2520" w:type="dxa"/>
            <w:tcBorders>
              <w:top w:val="nil"/>
              <w:left w:val="single" w:sz="4" w:space="0" w:color="auto"/>
              <w:bottom w:val="nil"/>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6"/>
                <w:szCs w:val="6"/>
              </w:rPr>
            </w:pP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6"/>
                <w:szCs w:val="6"/>
              </w:rPr>
            </w:pP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60"/>
              </w:tabs>
              <w:spacing w:after="0" w:line="240" w:lineRule="auto"/>
              <w:ind w:left="-60"/>
              <w:jc w:val="center"/>
              <w:rPr>
                <w:sz w:val="6"/>
                <w:szCs w:val="6"/>
                <w:highlight w:val="yellow"/>
              </w:rPr>
            </w:pP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6"/>
                <w:szCs w:val="6"/>
              </w:rPr>
            </w:pPr>
          </w:p>
        </w:tc>
      </w:tr>
      <w:tr w:rsidR="00B44A2E" w:rsidRPr="00CB519F"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tcBorders>
              <w:top w:val="nil"/>
              <w:left w:val="single" w:sz="4" w:space="0" w:color="auto"/>
              <w:bottom w:val="nil"/>
            </w:tcBorders>
            <w:noWrap/>
            <w:tcMar>
              <w:top w:w="13" w:type="dxa"/>
              <w:left w:w="72" w:type="dxa"/>
              <w:bottom w:w="0" w:type="dxa"/>
              <w:right w:w="13" w:type="dxa"/>
            </w:tcMar>
          </w:tcPr>
          <w:p w:rsidR="00B44A2E" w:rsidRPr="00E21A30" w:rsidRDefault="00B44A2E" w:rsidP="00B44A2E">
            <w:pPr>
              <w:tabs>
                <w:tab w:val="left" w:pos="326"/>
              </w:tabs>
              <w:spacing w:after="0" w:line="240" w:lineRule="auto"/>
              <w:ind w:left="326"/>
              <w:rPr>
                <w:b/>
                <w:i/>
                <w:sz w:val="18"/>
                <w:szCs w:val="18"/>
              </w:rPr>
            </w:pPr>
            <w:proofErr w:type="spellStart"/>
            <w:r w:rsidRPr="00E21A30">
              <w:rPr>
                <w:b/>
                <w:i/>
                <w:sz w:val="18"/>
                <w:szCs w:val="18"/>
              </w:rPr>
              <w:t>HealthAware</w:t>
            </w:r>
            <w:proofErr w:type="spellEnd"/>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Single</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DB26B1" w:rsidRDefault="00B44A2E" w:rsidP="00DB26B1">
            <w:pPr>
              <w:tabs>
                <w:tab w:val="left" w:pos="-60"/>
              </w:tabs>
              <w:spacing w:after="0" w:line="240" w:lineRule="auto"/>
              <w:ind w:left="-60"/>
              <w:jc w:val="center"/>
              <w:rPr>
                <w:sz w:val="18"/>
                <w:szCs w:val="18"/>
              </w:rPr>
            </w:pPr>
            <w:r w:rsidRPr="00DB26B1">
              <w:rPr>
                <w:sz w:val="18"/>
                <w:szCs w:val="18"/>
              </w:rPr>
              <w:t>$</w:t>
            </w:r>
            <w:r w:rsidR="00DB26B1" w:rsidRPr="00DB26B1">
              <w:rPr>
                <w:sz w:val="18"/>
                <w:szCs w:val="18"/>
              </w:rPr>
              <w:t>0</w:t>
            </w:r>
          </w:p>
        </w:tc>
        <w:tc>
          <w:tcPr>
            <w:tcW w:w="2446" w:type="dxa"/>
            <w:tcBorders>
              <w:top w:val="nil"/>
              <w:left w:val="single" w:sz="4" w:space="0" w:color="auto"/>
              <w:bottom w:val="nil"/>
              <w:right w:val="single" w:sz="12" w:space="0" w:color="auto"/>
            </w:tcBorders>
          </w:tcPr>
          <w:p w:rsidR="00B44A2E" w:rsidRPr="00E21A30" w:rsidRDefault="002906E0" w:rsidP="00B44A2E">
            <w:pPr>
              <w:tabs>
                <w:tab w:val="left" w:pos="-60"/>
              </w:tabs>
              <w:spacing w:after="0" w:line="240" w:lineRule="auto"/>
              <w:ind w:left="-60"/>
              <w:jc w:val="center"/>
              <w:rPr>
                <w:sz w:val="18"/>
                <w:szCs w:val="18"/>
              </w:rPr>
            </w:pPr>
            <w:r w:rsidRPr="00E21A30">
              <w:rPr>
                <w:sz w:val="18"/>
                <w:szCs w:val="18"/>
              </w:rPr>
              <w:t>$6,0</w:t>
            </w:r>
            <w:r>
              <w:rPr>
                <w:sz w:val="18"/>
                <w:szCs w:val="18"/>
              </w:rPr>
              <w:t>24</w:t>
            </w:r>
          </w:p>
        </w:tc>
      </w:tr>
      <w:tr w:rsidR="00B44A2E" w:rsidRPr="00CB519F"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tcBorders>
              <w:top w:val="nil"/>
              <w:left w:val="single" w:sz="4" w:space="0" w:color="auto"/>
              <w:bottom w:val="nil"/>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Employee + One</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DB26B1" w:rsidRDefault="00B44A2E" w:rsidP="00DB26B1">
            <w:pPr>
              <w:tabs>
                <w:tab w:val="left" w:pos="-60"/>
              </w:tabs>
              <w:spacing w:after="0" w:line="240" w:lineRule="auto"/>
              <w:ind w:left="-60"/>
              <w:jc w:val="center"/>
              <w:rPr>
                <w:sz w:val="18"/>
                <w:szCs w:val="18"/>
              </w:rPr>
            </w:pPr>
            <w:r w:rsidRPr="00DB26B1">
              <w:rPr>
                <w:sz w:val="18"/>
                <w:szCs w:val="18"/>
              </w:rPr>
              <w:t>$</w:t>
            </w:r>
            <w:r w:rsidR="00DB26B1" w:rsidRPr="00DB26B1">
              <w:rPr>
                <w:sz w:val="18"/>
                <w:szCs w:val="18"/>
              </w:rPr>
              <w:t>0</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$10,812</w:t>
            </w:r>
          </w:p>
        </w:tc>
      </w:tr>
      <w:tr w:rsidR="00B44A2E" w:rsidRPr="00CB519F"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tcBorders>
              <w:top w:val="nil"/>
              <w:left w:val="single" w:sz="4" w:space="0" w:color="auto"/>
              <w:bottom w:val="nil"/>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Family</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DB26B1" w:rsidRDefault="00B44A2E" w:rsidP="00DB26B1">
            <w:pPr>
              <w:tabs>
                <w:tab w:val="left" w:pos="-60"/>
              </w:tabs>
              <w:spacing w:after="0" w:line="240" w:lineRule="auto"/>
              <w:ind w:left="-60"/>
              <w:jc w:val="center"/>
              <w:rPr>
                <w:sz w:val="18"/>
                <w:szCs w:val="18"/>
              </w:rPr>
            </w:pPr>
            <w:r w:rsidRPr="00DB26B1">
              <w:rPr>
                <w:sz w:val="18"/>
                <w:szCs w:val="18"/>
              </w:rPr>
              <w:t>$</w:t>
            </w:r>
            <w:r w:rsidR="00DB26B1" w:rsidRPr="00DB26B1">
              <w:rPr>
                <w:sz w:val="18"/>
                <w:szCs w:val="18"/>
              </w:rPr>
              <w:t>0</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$15,852</w:t>
            </w:r>
          </w:p>
        </w:tc>
      </w:tr>
      <w:tr w:rsidR="00B44A2E" w:rsidRPr="00E21A30" w:rsidTr="00B44A2E">
        <w:trPr>
          <w:trHeight w:val="67"/>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6"/>
                <w:szCs w:val="6"/>
              </w:rPr>
            </w:pPr>
          </w:p>
        </w:tc>
        <w:tc>
          <w:tcPr>
            <w:tcW w:w="2520" w:type="dxa"/>
            <w:tcBorders>
              <w:top w:val="nil"/>
              <w:left w:val="single" w:sz="4" w:space="0" w:color="auto"/>
              <w:bottom w:val="nil"/>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6"/>
                <w:szCs w:val="6"/>
              </w:rPr>
            </w:pP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6"/>
                <w:szCs w:val="6"/>
              </w:rPr>
            </w:pP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60"/>
              </w:tabs>
              <w:spacing w:after="0" w:line="240" w:lineRule="auto"/>
              <w:ind w:left="-60"/>
              <w:jc w:val="center"/>
              <w:rPr>
                <w:sz w:val="6"/>
                <w:szCs w:val="6"/>
                <w:highlight w:val="yellow"/>
              </w:rPr>
            </w:pP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6"/>
                <w:szCs w:val="6"/>
              </w:rPr>
            </w:pPr>
          </w:p>
        </w:tc>
      </w:tr>
      <w:tr w:rsidR="00B44A2E" w:rsidRPr="0001193B"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vMerge w:val="restart"/>
            <w:tcBorders>
              <w:top w:val="nil"/>
              <w:left w:val="single" w:sz="4" w:space="0" w:color="auto"/>
            </w:tcBorders>
            <w:noWrap/>
            <w:tcMar>
              <w:top w:w="13" w:type="dxa"/>
              <w:left w:w="72" w:type="dxa"/>
              <w:bottom w:w="0" w:type="dxa"/>
              <w:right w:w="13" w:type="dxa"/>
            </w:tcMar>
          </w:tcPr>
          <w:p w:rsidR="00B44A2E" w:rsidRPr="00E21A30" w:rsidRDefault="00B44A2E" w:rsidP="00B44A2E">
            <w:pPr>
              <w:spacing w:after="0" w:line="240" w:lineRule="auto"/>
              <w:ind w:left="344" w:right="162"/>
              <w:rPr>
                <w:sz w:val="18"/>
                <w:szCs w:val="18"/>
              </w:rPr>
            </w:pPr>
            <w:r w:rsidRPr="00E21A30">
              <w:rPr>
                <w:b/>
                <w:i/>
                <w:sz w:val="18"/>
                <w:szCs w:val="18"/>
              </w:rPr>
              <w:t>Kaiser Permanente</w:t>
            </w: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Single</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tcPr>
          <w:p w:rsidR="00B44A2E" w:rsidRPr="00E21A30" w:rsidRDefault="00780AD4" w:rsidP="00B44A2E">
            <w:pPr>
              <w:tabs>
                <w:tab w:val="left" w:pos="-60"/>
              </w:tabs>
              <w:spacing w:after="0" w:line="240" w:lineRule="auto"/>
              <w:ind w:left="-60"/>
              <w:jc w:val="center"/>
              <w:rPr>
                <w:sz w:val="18"/>
                <w:szCs w:val="18"/>
                <w:highlight w:val="yellow"/>
              </w:rPr>
            </w:pPr>
            <w:r>
              <w:rPr>
                <w:sz w:val="18"/>
                <w:szCs w:val="18"/>
              </w:rPr>
              <w:t>$</w:t>
            </w:r>
            <w:r w:rsidRPr="00780AD4">
              <w:rPr>
                <w:sz w:val="18"/>
                <w:szCs w:val="18"/>
              </w:rPr>
              <w:t>4</w:t>
            </w:r>
            <w:r>
              <w:rPr>
                <w:sz w:val="18"/>
                <w:szCs w:val="18"/>
              </w:rPr>
              <w:t>,</w:t>
            </w:r>
            <w:r w:rsidRPr="00780AD4">
              <w:rPr>
                <w:sz w:val="18"/>
                <w:szCs w:val="18"/>
              </w:rPr>
              <w:t>872</w:t>
            </w:r>
          </w:p>
        </w:tc>
        <w:tc>
          <w:tcPr>
            <w:tcW w:w="2446" w:type="dxa"/>
            <w:tcBorders>
              <w:top w:val="nil"/>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$5,604</w:t>
            </w:r>
          </w:p>
        </w:tc>
      </w:tr>
      <w:tr w:rsidR="00B44A2E" w:rsidRPr="0001193B"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vMerge/>
            <w:tcBorders>
              <w:left w:val="single" w:sz="4" w:space="0" w:color="auto"/>
            </w:tcBorders>
            <w:noWrap/>
            <w:tcMar>
              <w:top w:w="13" w:type="dxa"/>
              <w:left w:w="72" w:type="dxa"/>
              <w:bottom w:w="0" w:type="dxa"/>
              <w:right w:w="13" w:type="dxa"/>
            </w:tcMar>
          </w:tcPr>
          <w:p w:rsidR="00B44A2E" w:rsidRPr="00E21A30" w:rsidRDefault="00B44A2E" w:rsidP="00B44A2E">
            <w:pPr>
              <w:tabs>
                <w:tab w:val="left" w:pos="496"/>
              </w:tabs>
              <w:spacing w:before="120" w:after="0" w:line="240" w:lineRule="auto"/>
              <w:rPr>
                <w:sz w:val="18"/>
                <w:szCs w:val="18"/>
              </w:rPr>
            </w:pP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Employee + One</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vAlign w:val="bottom"/>
          </w:tcPr>
          <w:p w:rsidR="00B44A2E" w:rsidRPr="00E21A30" w:rsidRDefault="00780AD4" w:rsidP="00B44A2E">
            <w:pPr>
              <w:tabs>
                <w:tab w:val="left" w:pos="-60"/>
              </w:tabs>
              <w:spacing w:after="0" w:line="240" w:lineRule="auto"/>
              <w:ind w:left="-60"/>
              <w:jc w:val="center"/>
              <w:rPr>
                <w:sz w:val="18"/>
                <w:szCs w:val="18"/>
                <w:highlight w:val="yellow"/>
              </w:rPr>
            </w:pPr>
            <w:r>
              <w:rPr>
                <w:sz w:val="18"/>
                <w:szCs w:val="18"/>
              </w:rPr>
              <w:t>$</w:t>
            </w:r>
            <w:r w:rsidRPr="00780AD4">
              <w:rPr>
                <w:sz w:val="18"/>
                <w:szCs w:val="18"/>
              </w:rPr>
              <w:t>8</w:t>
            </w:r>
            <w:r>
              <w:rPr>
                <w:sz w:val="18"/>
                <w:szCs w:val="18"/>
              </w:rPr>
              <w:t>,</w:t>
            </w:r>
            <w:r w:rsidRPr="00780AD4">
              <w:rPr>
                <w:sz w:val="18"/>
                <w:szCs w:val="18"/>
              </w:rPr>
              <w:t>736</w:t>
            </w:r>
          </w:p>
        </w:tc>
        <w:tc>
          <w:tcPr>
            <w:tcW w:w="2446" w:type="dxa"/>
            <w:tcBorders>
              <w:top w:val="nil"/>
              <w:left w:val="single" w:sz="4" w:space="0" w:color="auto"/>
              <w:bottom w:val="nil"/>
              <w:right w:val="single" w:sz="12" w:space="0" w:color="auto"/>
            </w:tcBorders>
            <w:vAlign w:val="bottom"/>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$9,972</w:t>
            </w:r>
          </w:p>
        </w:tc>
      </w:tr>
      <w:tr w:rsidR="00B44A2E" w:rsidRPr="0001193B" w:rsidTr="00B44A2E">
        <w:trPr>
          <w:trHeight w:val="255"/>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B44A2E" w:rsidRPr="00E21A30" w:rsidRDefault="00B44A2E" w:rsidP="00B44A2E">
            <w:pPr>
              <w:tabs>
                <w:tab w:val="left" w:pos="70"/>
              </w:tabs>
              <w:spacing w:after="0" w:line="240" w:lineRule="auto"/>
              <w:ind w:hanging="75"/>
              <w:jc w:val="center"/>
              <w:rPr>
                <w:rFonts w:cs="Arial"/>
                <w:sz w:val="18"/>
                <w:szCs w:val="18"/>
              </w:rPr>
            </w:pPr>
          </w:p>
        </w:tc>
        <w:tc>
          <w:tcPr>
            <w:tcW w:w="2520" w:type="dxa"/>
            <w:vMerge/>
            <w:tcBorders>
              <w:left w:val="single" w:sz="4" w:space="0" w:color="auto"/>
              <w:bottom w:val="nil"/>
            </w:tcBorders>
            <w:noWrap/>
            <w:tcMar>
              <w:top w:w="13" w:type="dxa"/>
              <w:left w:w="72" w:type="dxa"/>
              <w:bottom w:w="0" w:type="dxa"/>
              <w:right w:w="13" w:type="dxa"/>
            </w:tcMar>
          </w:tcPr>
          <w:p w:rsidR="00B44A2E" w:rsidRPr="00E21A30" w:rsidRDefault="00B44A2E" w:rsidP="00B44A2E">
            <w:pPr>
              <w:tabs>
                <w:tab w:val="left" w:pos="496"/>
              </w:tabs>
              <w:spacing w:after="0" w:line="240" w:lineRule="auto"/>
              <w:rPr>
                <w:sz w:val="18"/>
                <w:szCs w:val="18"/>
              </w:rPr>
            </w:pPr>
          </w:p>
        </w:tc>
        <w:tc>
          <w:tcPr>
            <w:tcW w:w="1530" w:type="dxa"/>
            <w:tcBorders>
              <w:top w:val="nil"/>
              <w:bottom w:val="nil"/>
              <w:right w:val="single" w:sz="4" w:space="0" w:color="auto"/>
            </w:tcBorders>
          </w:tcPr>
          <w:p w:rsidR="00B44A2E" w:rsidRPr="00E21A30" w:rsidRDefault="00B44A2E" w:rsidP="00B44A2E">
            <w:pPr>
              <w:tabs>
                <w:tab w:val="left" w:pos="496"/>
              </w:tabs>
              <w:spacing w:after="0" w:line="240" w:lineRule="auto"/>
              <w:rPr>
                <w:sz w:val="18"/>
                <w:szCs w:val="18"/>
              </w:rPr>
            </w:pPr>
            <w:r w:rsidRPr="00E21A30">
              <w:rPr>
                <w:sz w:val="18"/>
                <w:szCs w:val="18"/>
              </w:rPr>
              <w:t>Family</w:t>
            </w:r>
          </w:p>
        </w:tc>
        <w:tc>
          <w:tcPr>
            <w:tcW w:w="2563" w:type="dxa"/>
            <w:tcBorders>
              <w:top w:val="nil"/>
              <w:left w:val="single" w:sz="4" w:space="0" w:color="auto"/>
              <w:bottom w:val="nil"/>
              <w:right w:val="single" w:sz="4" w:space="0" w:color="auto"/>
            </w:tcBorders>
            <w:noWrap/>
            <w:tcMar>
              <w:top w:w="13" w:type="dxa"/>
              <w:left w:w="13" w:type="dxa"/>
              <w:bottom w:w="0" w:type="dxa"/>
              <w:right w:w="13" w:type="dxa"/>
            </w:tcMar>
            <w:vAlign w:val="bottom"/>
          </w:tcPr>
          <w:p w:rsidR="00B44A2E" w:rsidRPr="00E21A30" w:rsidRDefault="00780AD4" w:rsidP="00B44A2E">
            <w:pPr>
              <w:tabs>
                <w:tab w:val="left" w:pos="-60"/>
              </w:tabs>
              <w:spacing w:after="0" w:line="240" w:lineRule="auto"/>
              <w:ind w:left="-60"/>
              <w:jc w:val="center"/>
              <w:rPr>
                <w:sz w:val="18"/>
                <w:szCs w:val="18"/>
                <w:highlight w:val="yellow"/>
              </w:rPr>
            </w:pPr>
            <w:r>
              <w:rPr>
                <w:sz w:val="18"/>
                <w:szCs w:val="18"/>
              </w:rPr>
              <w:t>$</w:t>
            </w:r>
            <w:r w:rsidRPr="00780AD4">
              <w:rPr>
                <w:sz w:val="18"/>
                <w:szCs w:val="18"/>
              </w:rPr>
              <w:t>12</w:t>
            </w:r>
            <w:r>
              <w:rPr>
                <w:sz w:val="18"/>
                <w:szCs w:val="18"/>
              </w:rPr>
              <w:t>,</w:t>
            </w:r>
            <w:r w:rsidRPr="00780AD4">
              <w:rPr>
                <w:sz w:val="18"/>
                <w:szCs w:val="18"/>
              </w:rPr>
              <w:t>756</w:t>
            </w:r>
          </w:p>
        </w:tc>
        <w:tc>
          <w:tcPr>
            <w:tcW w:w="2446" w:type="dxa"/>
            <w:tcBorders>
              <w:top w:val="nil"/>
              <w:left w:val="single" w:sz="4" w:space="0" w:color="auto"/>
              <w:bottom w:val="nil"/>
              <w:right w:val="single" w:sz="12" w:space="0" w:color="auto"/>
            </w:tcBorders>
            <w:vAlign w:val="bottom"/>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$14,580</w:t>
            </w:r>
          </w:p>
        </w:tc>
      </w:tr>
      <w:tr w:rsidR="00A1100A" w:rsidRPr="00E21A30" w:rsidTr="00B44A2E">
        <w:trPr>
          <w:trHeight w:val="67"/>
          <w:jc w:val="center"/>
        </w:trPr>
        <w:tc>
          <w:tcPr>
            <w:tcW w:w="657" w:type="dxa"/>
            <w:tcBorders>
              <w:top w:val="nil"/>
              <w:left w:val="single" w:sz="12" w:space="0" w:color="auto"/>
              <w:bottom w:val="nil"/>
              <w:right w:val="single" w:sz="4" w:space="0" w:color="auto"/>
            </w:tcBorders>
            <w:noWrap/>
            <w:tcMar>
              <w:top w:w="13" w:type="dxa"/>
              <w:left w:w="13" w:type="dxa"/>
              <w:bottom w:w="0" w:type="dxa"/>
              <w:right w:w="13" w:type="dxa"/>
            </w:tcMar>
          </w:tcPr>
          <w:p w:rsidR="00A1100A" w:rsidRPr="00E21A30" w:rsidRDefault="00A1100A" w:rsidP="00B44A2E">
            <w:pPr>
              <w:tabs>
                <w:tab w:val="left" w:pos="70"/>
              </w:tabs>
              <w:spacing w:after="0" w:line="240" w:lineRule="auto"/>
              <w:ind w:hanging="75"/>
              <w:jc w:val="center"/>
              <w:rPr>
                <w:rFonts w:cs="Arial"/>
                <w:sz w:val="4"/>
                <w:szCs w:val="4"/>
              </w:rPr>
            </w:pPr>
          </w:p>
        </w:tc>
        <w:tc>
          <w:tcPr>
            <w:tcW w:w="2520" w:type="dxa"/>
            <w:tcBorders>
              <w:top w:val="nil"/>
              <w:left w:val="single" w:sz="4" w:space="0" w:color="auto"/>
              <w:bottom w:val="single" w:sz="4" w:space="0" w:color="auto"/>
            </w:tcBorders>
            <w:noWrap/>
            <w:tcMar>
              <w:top w:w="13" w:type="dxa"/>
              <w:left w:w="72" w:type="dxa"/>
              <w:bottom w:w="0" w:type="dxa"/>
              <w:right w:w="13" w:type="dxa"/>
            </w:tcMar>
          </w:tcPr>
          <w:p w:rsidR="00A1100A" w:rsidRPr="00E21A30" w:rsidRDefault="00A1100A" w:rsidP="00B44A2E">
            <w:pPr>
              <w:tabs>
                <w:tab w:val="left" w:pos="496"/>
              </w:tabs>
              <w:spacing w:after="0" w:line="240" w:lineRule="auto"/>
              <w:rPr>
                <w:rFonts w:cs="Arial"/>
                <w:sz w:val="4"/>
                <w:szCs w:val="4"/>
              </w:rPr>
            </w:pPr>
          </w:p>
        </w:tc>
        <w:tc>
          <w:tcPr>
            <w:tcW w:w="1530" w:type="dxa"/>
            <w:tcBorders>
              <w:top w:val="nil"/>
              <w:bottom w:val="single" w:sz="4" w:space="0" w:color="auto"/>
              <w:right w:val="single" w:sz="4" w:space="0" w:color="auto"/>
            </w:tcBorders>
          </w:tcPr>
          <w:p w:rsidR="00A1100A" w:rsidRPr="00E21A30" w:rsidRDefault="00A1100A" w:rsidP="00B44A2E">
            <w:pPr>
              <w:tabs>
                <w:tab w:val="left" w:pos="496"/>
              </w:tabs>
              <w:spacing w:after="0" w:line="240" w:lineRule="auto"/>
              <w:rPr>
                <w:rFonts w:cs="Arial"/>
                <w:sz w:val="4"/>
                <w:szCs w:val="4"/>
              </w:rPr>
            </w:pPr>
          </w:p>
        </w:tc>
        <w:tc>
          <w:tcPr>
            <w:tcW w:w="2563" w:type="dxa"/>
            <w:tcBorders>
              <w:top w:val="nil"/>
              <w:left w:val="single" w:sz="4" w:space="0" w:color="auto"/>
              <w:bottom w:val="nil"/>
              <w:right w:val="single" w:sz="4" w:space="0" w:color="auto"/>
            </w:tcBorders>
            <w:noWrap/>
            <w:tcMar>
              <w:top w:w="13" w:type="dxa"/>
              <w:left w:w="13" w:type="dxa"/>
              <w:bottom w:w="0" w:type="dxa"/>
              <w:right w:w="13" w:type="dxa"/>
            </w:tcMar>
            <w:vAlign w:val="bottom"/>
          </w:tcPr>
          <w:p w:rsidR="00A1100A" w:rsidRPr="00E21A30" w:rsidRDefault="00A1100A" w:rsidP="00B44A2E">
            <w:pPr>
              <w:tabs>
                <w:tab w:val="left" w:pos="-60"/>
              </w:tabs>
              <w:spacing w:after="0" w:line="240" w:lineRule="auto"/>
              <w:ind w:left="-60"/>
              <w:jc w:val="center"/>
              <w:rPr>
                <w:rFonts w:cs="Arial"/>
                <w:sz w:val="4"/>
                <w:szCs w:val="4"/>
              </w:rPr>
            </w:pPr>
          </w:p>
        </w:tc>
        <w:tc>
          <w:tcPr>
            <w:tcW w:w="2446" w:type="dxa"/>
            <w:tcBorders>
              <w:top w:val="nil"/>
              <w:left w:val="single" w:sz="4" w:space="0" w:color="auto"/>
              <w:bottom w:val="nil"/>
              <w:right w:val="single" w:sz="12" w:space="0" w:color="auto"/>
            </w:tcBorders>
          </w:tcPr>
          <w:p w:rsidR="00A1100A" w:rsidRPr="00E21A30" w:rsidRDefault="00A1100A" w:rsidP="00B44A2E">
            <w:pPr>
              <w:tabs>
                <w:tab w:val="left" w:pos="-60"/>
              </w:tabs>
              <w:spacing w:after="0" w:line="240" w:lineRule="auto"/>
              <w:ind w:left="-60"/>
              <w:jc w:val="center"/>
              <w:rPr>
                <w:rFonts w:cs="Arial"/>
                <w:sz w:val="4"/>
                <w:szCs w:val="4"/>
              </w:rPr>
            </w:pPr>
          </w:p>
        </w:tc>
      </w:tr>
      <w:tr w:rsidR="00B44A2E" w:rsidRPr="0001193B" w:rsidTr="00E21A30">
        <w:trPr>
          <w:trHeight w:val="108"/>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B44A2E" w:rsidRPr="00E21A30" w:rsidRDefault="00B44A2E" w:rsidP="00B44A2E">
            <w:pPr>
              <w:tabs>
                <w:tab w:val="left" w:pos="70"/>
              </w:tabs>
              <w:spacing w:after="0" w:line="240" w:lineRule="auto"/>
              <w:ind w:hanging="75"/>
              <w:jc w:val="center"/>
              <w:rPr>
                <w:rFonts w:cs="Arial"/>
                <w:b/>
                <w:bCs/>
                <w:sz w:val="18"/>
                <w:szCs w:val="18"/>
              </w:rPr>
            </w:pPr>
            <w:r w:rsidRPr="00E21A30">
              <w:rPr>
                <w:rFonts w:cs="Arial"/>
                <w:b/>
                <w:bCs/>
                <w:sz w:val="18"/>
                <w:szCs w:val="18"/>
              </w:rPr>
              <w:t>1116</w:t>
            </w:r>
          </w:p>
        </w:tc>
        <w:tc>
          <w:tcPr>
            <w:tcW w:w="4050" w:type="dxa"/>
            <w:gridSpan w:val="2"/>
            <w:tcBorders>
              <w:top w:val="single" w:sz="4" w:space="0" w:color="auto"/>
              <w:left w:val="single" w:sz="8" w:space="0" w:color="auto"/>
              <w:bottom w:val="single" w:sz="8" w:space="0" w:color="auto"/>
              <w:right w:val="single" w:sz="8" w:space="0" w:color="auto"/>
            </w:tcBorders>
            <w:noWrap/>
            <w:tcMar>
              <w:top w:w="43" w:type="dxa"/>
              <w:left w:w="72" w:type="dxa"/>
              <w:bottom w:w="43" w:type="dxa"/>
              <w:right w:w="13" w:type="dxa"/>
            </w:tcMar>
          </w:tcPr>
          <w:p w:rsidR="00B44A2E" w:rsidRPr="00E21A30" w:rsidRDefault="00B44A2E" w:rsidP="00B44A2E">
            <w:pPr>
              <w:spacing w:after="0" w:line="240" w:lineRule="auto"/>
              <w:ind w:left="108"/>
              <w:rPr>
                <w:rFonts w:cs="Arial"/>
                <w:b/>
                <w:bCs/>
                <w:sz w:val="18"/>
                <w:szCs w:val="18"/>
              </w:rPr>
            </w:pPr>
            <w:r w:rsidRPr="00E21A30">
              <w:rPr>
                <w:rFonts w:cs="Arial"/>
                <w:b/>
                <w:bCs/>
                <w:sz w:val="18"/>
                <w:szCs w:val="18"/>
              </w:rPr>
              <w:t>Retiree Health Insurance Credit Premium</w:t>
            </w:r>
          </w:p>
        </w:tc>
        <w:tc>
          <w:tcPr>
            <w:tcW w:w="2563" w:type="dxa"/>
            <w:tcBorders>
              <w:top w:val="single" w:sz="8" w:space="0" w:color="auto"/>
              <w:left w:val="single" w:sz="8" w:space="0" w:color="auto"/>
              <w:bottom w:val="single" w:sz="8" w:space="0" w:color="auto"/>
              <w:right w:val="single" w:sz="4" w:space="0" w:color="auto"/>
            </w:tcBorders>
            <w:noWrap/>
            <w:tcMar>
              <w:top w:w="43" w:type="dxa"/>
              <w:left w:w="13" w:type="dxa"/>
              <w:bottom w:w="43" w:type="dxa"/>
              <w:right w:w="13" w:type="dxa"/>
            </w:tcMar>
          </w:tcPr>
          <w:p w:rsidR="00B44A2E" w:rsidRPr="00E21A30" w:rsidRDefault="00CB1236" w:rsidP="00B44A2E">
            <w:pPr>
              <w:tabs>
                <w:tab w:val="left" w:pos="-60"/>
              </w:tabs>
              <w:spacing w:after="0" w:line="240" w:lineRule="auto"/>
              <w:ind w:left="-60"/>
              <w:jc w:val="center"/>
              <w:rPr>
                <w:sz w:val="18"/>
                <w:szCs w:val="18"/>
                <w:highlight w:val="yellow"/>
              </w:rPr>
            </w:pPr>
            <w:r w:rsidRPr="00CB1236">
              <w:rPr>
                <w:sz w:val="18"/>
                <w:szCs w:val="18"/>
              </w:rPr>
              <w:t>0.99%</w:t>
            </w:r>
          </w:p>
        </w:tc>
        <w:tc>
          <w:tcPr>
            <w:tcW w:w="2446" w:type="dxa"/>
            <w:tcBorders>
              <w:top w:val="single" w:sz="8" w:space="0" w:color="auto"/>
              <w:left w:val="single" w:sz="4" w:space="0" w:color="auto"/>
              <w:bottom w:val="single" w:sz="8" w:space="0" w:color="auto"/>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1.00%</w:t>
            </w:r>
          </w:p>
        </w:tc>
      </w:tr>
      <w:tr w:rsidR="00B44A2E" w:rsidRPr="0001193B" w:rsidTr="00E21A30">
        <w:trPr>
          <w:trHeight w:val="108"/>
          <w:jc w:val="center"/>
        </w:trPr>
        <w:tc>
          <w:tcPr>
            <w:tcW w:w="657" w:type="dxa"/>
            <w:tcBorders>
              <w:top w:val="single" w:sz="8" w:space="0" w:color="auto"/>
              <w:left w:val="single" w:sz="12" w:space="0" w:color="auto"/>
              <w:bottom w:val="nil"/>
              <w:right w:val="single" w:sz="8" w:space="0" w:color="auto"/>
            </w:tcBorders>
            <w:noWrap/>
            <w:tcMar>
              <w:top w:w="43" w:type="dxa"/>
              <w:left w:w="13" w:type="dxa"/>
              <w:bottom w:w="43" w:type="dxa"/>
              <w:right w:w="13" w:type="dxa"/>
            </w:tcMar>
          </w:tcPr>
          <w:p w:rsidR="00B44A2E" w:rsidRPr="00E21A30" w:rsidRDefault="00B44A2E" w:rsidP="00B44A2E">
            <w:pPr>
              <w:tabs>
                <w:tab w:val="left" w:pos="70"/>
              </w:tabs>
              <w:spacing w:after="0" w:line="240" w:lineRule="auto"/>
              <w:ind w:hanging="75"/>
              <w:jc w:val="center"/>
              <w:rPr>
                <w:rFonts w:cs="Arial"/>
                <w:b/>
                <w:bCs/>
                <w:sz w:val="18"/>
                <w:szCs w:val="18"/>
              </w:rPr>
            </w:pPr>
            <w:r w:rsidRPr="00E21A30">
              <w:rPr>
                <w:rFonts w:cs="Arial"/>
                <w:b/>
                <w:bCs/>
                <w:sz w:val="18"/>
                <w:szCs w:val="18"/>
              </w:rPr>
              <w:t>1117</w:t>
            </w:r>
          </w:p>
        </w:tc>
        <w:tc>
          <w:tcPr>
            <w:tcW w:w="4050" w:type="dxa"/>
            <w:gridSpan w:val="2"/>
            <w:tcBorders>
              <w:top w:val="single" w:sz="8" w:space="0" w:color="auto"/>
              <w:left w:val="single" w:sz="8" w:space="0" w:color="auto"/>
              <w:bottom w:val="nil"/>
              <w:right w:val="single" w:sz="8" w:space="0" w:color="auto"/>
            </w:tcBorders>
            <w:noWrap/>
            <w:tcMar>
              <w:top w:w="43" w:type="dxa"/>
              <w:left w:w="72" w:type="dxa"/>
              <w:bottom w:w="43" w:type="dxa"/>
              <w:right w:w="13" w:type="dxa"/>
            </w:tcMar>
          </w:tcPr>
          <w:p w:rsidR="00B44A2E" w:rsidRPr="00E21A30" w:rsidRDefault="00B44A2E" w:rsidP="00B44A2E">
            <w:pPr>
              <w:spacing w:after="0" w:line="240" w:lineRule="auto"/>
              <w:ind w:left="108"/>
              <w:rPr>
                <w:rFonts w:cs="Arial"/>
                <w:b/>
                <w:bCs/>
                <w:sz w:val="18"/>
                <w:szCs w:val="18"/>
              </w:rPr>
            </w:pPr>
            <w:r w:rsidRPr="00E21A30">
              <w:rPr>
                <w:rFonts w:cs="Arial"/>
                <w:b/>
                <w:bCs/>
                <w:sz w:val="18"/>
                <w:szCs w:val="18"/>
              </w:rPr>
              <w:t>VSDP &amp; Long-Term Disability Insurance</w:t>
            </w:r>
          </w:p>
        </w:tc>
        <w:tc>
          <w:tcPr>
            <w:tcW w:w="2563" w:type="dxa"/>
            <w:tcBorders>
              <w:top w:val="single" w:sz="8" w:space="0" w:color="auto"/>
              <w:left w:val="single" w:sz="8" w:space="0" w:color="auto"/>
              <w:bottom w:val="nil"/>
              <w:right w:val="single" w:sz="4" w:space="0" w:color="auto"/>
            </w:tcBorders>
            <w:noWrap/>
            <w:tcMar>
              <w:top w:w="43" w:type="dxa"/>
              <w:left w:w="13" w:type="dxa"/>
              <w:bottom w:w="43" w:type="dxa"/>
              <w:right w:w="13" w:type="dxa"/>
            </w:tcMar>
          </w:tcPr>
          <w:p w:rsidR="00B44A2E" w:rsidRPr="00E21A30" w:rsidRDefault="00CB1236" w:rsidP="00B44A2E">
            <w:pPr>
              <w:tabs>
                <w:tab w:val="left" w:pos="-60"/>
              </w:tabs>
              <w:spacing w:after="0" w:line="240" w:lineRule="auto"/>
              <w:ind w:left="-60"/>
              <w:jc w:val="center"/>
              <w:rPr>
                <w:sz w:val="18"/>
                <w:szCs w:val="18"/>
                <w:highlight w:val="yellow"/>
              </w:rPr>
            </w:pPr>
            <w:r w:rsidRPr="00CB1236">
              <w:rPr>
                <w:sz w:val="18"/>
                <w:szCs w:val="18"/>
              </w:rPr>
              <w:t>0.66%</w:t>
            </w:r>
          </w:p>
        </w:tc>
        <w:tc>
          <w:tcPr>
            <w:tcW w:w="2446" w:type="dxa"/>
            <w:tcBorders>
              <w:top w:val="single" w:sz="8" w:space="0" w:color="auto"/>
              <w:left w:val="single" w:sz="4" w:space="0" w:color="auto"/>
              <w:bottom w:val="nil"/>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0.47%</w:t>
            </w:r>
          </w:p>
        </w:tc>
      </w:tr>
      <w:tr w:rsidR="00B44A2E" w:rsidRPr="0001193B" w:rsidTr="00E21A30">
        <w:trPr>
          <w:trHeight w:val="108"/>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B44A2E" w:rsidRPr="00E21A30" w:rsidRDefault="00B44A2E" w:rsidP="00B44A2E">
            <w:pPr>
              <w:tabs>
                <w:tab w:val="left" w:pos="70"/>
              </w:tabs>
              <w:spacing w:after="0" w:line="240" w:lineRule="auto"/>
              <w:ind w:hanging="75"/>
              <w:jc w:val="center"/>
              <w:rPr>
                <w:rFonts w:cs="Arial"/>
                <w:b/>
                <w:bCs/>
                <w:sz w:val="18"/>
                <w:szCs w:val="18"/>
              </w:rPr>
            </w:pPr>
            <w:r w:rsidRPr="00E21A30">
              <w:rPr>
                <w:rFonts w:cs="Arial"/>
                <w:b/>
                <w:bCs/>
                <w:sz w:val="18"/>
                <w:szCs w:val="18"/>
              </w:rPr>
              <w:t>1118</w:t>
            </w:r>
          </w:p>
        </w:tc>
        <w:tc>
          <w:tcPr>
            <w:tcW w:w="4050"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B44A2E" w:rsidRPr="00E21A30" w:rsidRDefault="00B44A2E" w:rsidP="00B44A2E">
            <w:pPr>
              <w:spacing w:after="0" w:line="240" w:lineRule="auto"/>
              <w:ind w:left="108"/>
              <w:rPr>
                <w:rFonts w:cs="Arial"/>
                <w:b/>
                <w:bCs/>
                <w:sz w:val="18"/>
                <w:szCs w:val="18"/>
              </w:rPr>
            </w:pPr>
            <w:r w:rsidRPr="00E21A30">
              <w:rPr>
                <w:rFonts w:cs="Arial"/>
                <w:b/>
                <w:bCs/>
                <w:sz w:val="18"/>
                <w:szCs w:val="18"/>
              </w:rPr>
              <w:t>Teachers Insurance and Annuity</w:t>
            </w:r>
            <w:r w:rsidRPr="00E21A30">
              <w:rPr>
                <w:rFonts w:cs="Arial"/>
                <w:b/>
                <w:bCs/>
                <w:sz w:val="18"/>
                <w:szCs w:val="18"/>
                <w:vertAlign w:val="superscript"/>
              </w:rPr>
              <w:t>3</w:t>
            </w:r>
            <w:r w:rsidRPr="00E21A30">
              <w:rPr>
                <w:rFonts w:cs="Arial"/>
                <w:b/>
                <w:bCs/>
                <w:sz w:val="18"/>
                <w:szCs w:val="18"/>
              </w:rPr>
              <w:t xml:space="preserve"> Plan 1</w:t>
            </w:r>
          </w:p>
        </w:tc>
        <w:tc>
          <w:tcPr>
            <w:tcW w:w="2563" w:type="dxa"/>
            <w:tcBorders>
              <w:top w:val="single" w:sz="8" w:space="0" w:color="auto"/>
              <w:left w:val="single" w:sz="8" w:space="0" w:color="auto"/>
              <w:bottom w:val="single" w:sz="8" w:space="0" w:color="auto"/>
              <w:right w:val="single" w:sz="4" w:space="0" w:color="auto"/>
            </w:tcBorders>
            <w:noWrap/>
            <w:tcMar>
              <w:top w:w="43" w:type="dxa"/>
              <w:left w:w="13" w:type="dxa"/>
              <w:bottom w:w="43" w:type="dxa"/>
              <w:right w:w="13" w:type="dxa"/>
            </w:tcMar>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10.40%</w:t>
            </w:r>
          </w:p>
        </w:tc>
        <w:tc>
          <w:tcPr>
            <w:tcW w:w="2446" w:type="dxa"/>
            <w:tcBorders>
              <w:top w:val="single" w:sz="8" w:space="0" w:color="auto"/>
              <w:left w:val="single" w:sz="4" w:space="0" w:color="auto"/>
              <w:bottom w:val="single" w:sz="8" w:space="0" w:color="auto"/>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10.40%</w:t>
            </w:r>
          </w:p>
        </w:tc>
      </w:tr>
      <w:tr w:rsidR="00B44A2E" w:rsidRPr="0001193B" w:rsidTr="00E21A30">
        <w:trPr>
          <w:trHeight w:val="198"/>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B44A2E" w:rsidRPr="00E21A30" w:rsidRDefault="00B44A2E" w:rsidP="00B44A2E">
            <w:pPr>
              <w:tabs>
                <w:tab w:val="left" w:pos="70"/>
              </w:tabs>
              <w:spacing w:after="0" w:line="240" w:lineRule="auto"/>
              <w:ind w:hanging="75"/>
              <w:jc w:val="center"/>
              <w:rPr>
                <w:rFonts w:cs="Arial"/>
                <w:b/>
                <w:bCs/>
                <w:sz w:val="18"/>
                <w:szCs w:val="18"/>
              </w:rPr>
            </w:pPr>
            <w:r w:rsidRPr="00E21A30">
              <w:rPr>
                <w:rFonts w:cs="Arial"/>
                <w:b/>
                <w:bCs/>
                <w:sz w:val="18"/>
                <w:szCs w:val="18"/>
              </w:rPr>
              <w:t>1118</w:t>
            </w:r>
          </w:p>
        </w:tc>
        <w:tc>
          <w:tcPr>
            <w:tcW w:w="4050"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B44A2E" w:rsidRPr="00E21A30" w:rsidRDefault="00B44A2E" w:rsidP="00B44A2E">
            <w:pPr>
              <w:spacing w:after="0" w:line="240" w:lineRule="auto"/>
              <w:ind w:left="108"/>
              <w:rPr>
                <w:rFonts w:cs="Arial"/>
                <w:b/>
                <w:bCs/>
                <w:sz w:val="18"/>
                <w:szCs w:val="18"/>
              </w:rPr>
            </w:pPr>
            <w:r w:rsidRPr="00E21A30">
              <w:rPr>
                <w:rFonts w:cs="Arial"/>
                <w:b/>
                <w:bCs/>
                <w:sz w:val="18"/>
                <w:szCs w:val="18"/>
              </w:rPr>
              <w:t>Teachers Insurance and Annuity</w:t>
            </w:r>
            <w:r w:rsidRPr="00E21A30">
              <w:rPr>
                <w:rFonts w:cs="Arial"/>
                <w:b/>
                <w:bCs/>
                <w:sz w:val="18"/>
                <w:szCs w:val="18"/>
                <w:vertAlign w:val="superscript"/>
              </w:rPr>
              <w:t>3</w:t>
            </w:r>
            <w:r w:rsidRPr="00E21A30">
              <w:rPr>
                <w:rFonts w:cs="Arial"/>
                <w:b/>
                <w:bCs/>
                <w:sz w:val="18"/>
                <w:szCs w:val="18"/>
              </w:rPr>
              <w:t xml:space="preserve"> Plan 2</w:t>
            </w:r>
          </w:p>
        </w:tc>
        <w:tc>
          <w:tcPr>
            <w:tcW w:w="2563" w:type="dxa"/>
            <w:tcBorders>
              <w:top w:val="single" w:sz="8" w:space="0" w:color="auto"/>
              <w:left w:val="single" w:sz="8" w:space="0" w:color="auto"/>
              <w:bottom w:val="single" w:sz="8" w:space="0" w:color="auto"/>
              <w:right w:val="single" w:sz="4" w:space="0" w:color="auto"/>
            </w:tcBorders>
            <w:noWrap/>
            <w:tcMar>
              <w:top w:w="43" w:type="dxa"/>
              <w:left w:w="13" w:type="dxa"/>
              <w:bottom w:w="43" w:type="dxa"/>
              <w:right w:w="13" w:type="dxa"/>
            </w:tcMar>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8.50%</w:t>
            </w:r>
          </w:p>
        </w:tc>
        <w:tc>
          <w:tcPr>
            <w:tcW w:w="2446" w:type="dxa"/>
            <w:tcBorders>
              <w:top w:val="single" w:sz="8" w:space="0" w:color="auto"/>
              <w:left w:val="single" w:sz="4" w:space="0" w:color="auto"/>
              <w:bottom w:val="single" w:sz="8" w:space="0" w:color="auto"/>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8.50%</w:t>
            </w:r>
          </w:p>
        </w:tc>
      </w:tr>
      <w:tr w:rsidR="00B44A2E" w:rsidRPr="0001193B" w:rsidTr="00E21A30">
        <w:trPr>
          <w:trHeight w:val="108"/>
          <w:jc w:val="center"/>
        </w:trPr>
        <w:tc>
          <w:tcPr>
            <w:tcW w:w="657" w:type="dxa"/>
            <w:tcBorders>
              <w:top w:val="single" w:sz="8" w:space="0" w:color="auto"/>
              <w:left w:val="single" w:sz="12" w:space="0" w:color="auto"/>
              <w:bottom w:val="single" w:sz="8" w:space="0" w:color="auto"/>
              <w:right w:val="single" w:sz="8" w:space="0" w:color="auto"/>
            </w:tcBorders>
            <w:noWrap/>
            <w:tcMar>
              <w:top w:w="43" w:type="dxa"/>
              <w:left w:w="13" w:type="dxa"/>
              <w:bottom w:w="43" w:type="dxa"/>
              <w:right w:w="13" w:type="dxa"/>
            </w:tcMar>
          </w:tcPr>
          <w:p w:rsidR="00B44A2E" w:rsidRPr="00E21A30" w:rsidRDefault="00B44A2E" w:rsidP="00B44A2E">
            <w:pPr>
              <w:tabs>
                <w:tab w:val="left" w:pos="70"/>
              </w:tabs>
              <w:spacing w:after="0" w:line="240" w:lineRule="auto"/>
              <w:ind w:hanging="75"/>
              <w:jc w:val="center"/>
              <w:rPr>
                <w:rFonts w:cs="Arial"/>
                <w:b/>
                <w:bCs/>
                <w:sz w:val="18"/>
                <w:szCs w:val="18"/>
              </w:rPr>
            </w:pPr>
            <w:r w:rsidRPr="00E21A30">
              <w:rPr>
                <w:rFonts w:cs="Arial"/>
                <w:b/>
                <w:bCs/>
                <w:sz w:val="18"/>
                <w:szCs w:val="18"/>
              </w:rPr>
              <w:t>1119</w:t>
            </w:r>
          </w:p>
        </w:tc>
        <w:tc>
          <w:tcPr>
            <w:tcW w:w="4050" w:type="dxa"/>
            <w:gridSpan w:val="2"/>
            <w:tcBorders>
              <w:top w:val="single" w:sz="8" w:space="0" w:color="auto"/>
              <w:left w:val="single" w:sz="8" w:space="0" w:color="auto"/>
              <w:bottom w:val="single" w:sz="8" w:space="0" w:color="auto"/>
              <w:right w:val="single" w:sz="8" w:space="0" w:color="auto"/>
            </w:tcBorders>
            <w:noWrap/>
            <w:tcMar>
              <w:top w:w="43" w:type="dxa"/>
              <w:left w:w="72" w:type="dxa"/>
              <w:bottom w:w="43" w:type="dxa"/>
              <w:right w:w="13" w:type="dxa"/>
            </w:tcMar>
          </w:tcPr>
          <w:p w:rsidR="00B44A2E" w:rsidRPr="00E21A30" w:rsidRDefault="00B44A2E" w:rsidP="00B44A2E">
            <w:pPr>
              <w:spacing w:after="0" w:line="240" w:lineRule="auto"/>
              <w:ind w:left="108"/>
              <w:rPr>
                <w:rFonts w:cs="Arial"/>
                <w:b/>
                <w:bCs/>
                <w:sz w:val="18"/>
                <w:szCs w:val="18"/>
              </w:rPr>
            </w:pPr>
            <w:r w:rsidRPr="00E21A30">
              <w:rPr>
                <w:rFonts w:cs="Arial"/>
                <w:b/>
                <w:bCs/>
                <w:sz w:val="18"/>
                <w:szCs w:val="18"/>
              </w:rPr>
              <w:t>Defined Contribution Plan</w:t>
            </w:r>
            <w:r w:rsidRPr="00E21A30">
              <w:rPr>
                <w:rFonts w:cs="Arial"/>
                <w:b/>
                <w:bCs/>
                <w:sz w:val="18"/>
                <w:szCs w:val="18"/>
                <w:vertAlign w:val="superscript"/>
              </w:rPr>
              <w:t>4</w:t>
            </w:r>
          </w:p>
        </w:tc>
        <w:tc>
          <w:tcPr>
            <w:tcW w:w="2563" w:type="dxa"/>
            <w:tcBorders>
              <w:top w:val="single" w:sz="8" w:space="0" w:color="auto"/>
              <w:left w:val="single" w:sz="8" w:space="0" w:color="auto"/>
              <w:bottom w:val="single" w:sz="8" w:space="0" w:color="auto"/>
              <w:right w:val="single" w:sz="4" w:space="0" w:color="auto"/>
            </w:tcBorders>
            <w:noWrap/>
            <w:tcMar>
              <w:top w:w="43" w:type="dxa"/>
              <w:left w:w="13" w:type="dxa"/>
              <w:bottom w:w="43" w:type="dxa"/>
              <w:right w:w="13" w:type="dxa"/>
            </w:tcMar>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10.40%</w:t>
            </w:r>
          </w:p>
        </w:tc>
        <w:tc>
          <w:tcPr>
            <w:tcW w:w="2446" w:type="dxa"/>
            <w:tcBorders>
              <w:top w:val="single" w:sz="8" w:space="0" w:color="auto"/>
              <w:left w:val="single" w:sz="4" w:space="0" w:color="auto"/>
              <w:bottom w:val="single" w:sz="8" w:space="0" w:color="auto"/>
              <w:right w:val="single" w:sz="12" w:space="0" w:color="auto"/>
            </w:tcBorders>
          </w:tcPr>
          <w:p w:rsidR="00B44A2E" w:rsidRPr="00E21A30" w:rsidRDefault="00B44A2E" w:rsidP="00B44A2E">
            <w:pPr>
              <w:tabs>
                <w:tab w:val="left" w:pos="-60"/>
              </w:tabs>
              <w:spacing w:after="0" w:line="240" w:lineRule="auto"/>
              <w:ind w:left="-60"/>
              <w:jc w:val="center"/>
              <w:rPr>
                <w:sz w:val="18"/>
                <w:szCs w:val="18"/>
              </w:rPr>
            </w:pPr>
            <w:r w:rsidRPr="00E21A30">
              <w:rPr>
                <w:sz w:val="18"/>
                <w:szCs w:val="18"/>
              </w:rPr>
              <w:t>10.40%</w:t>
            </w:r>
          </w:p>
        </w:tc>
      </w:tr>
      <w:tr w:rsidR="0083661F" w:rsidRPr="0001193B" w:rsidTr="00E21A30">
        <w:trPr>
          <w:trHeight w:val="225"/>
          <w:jc w:val="center"/>
        </w:trPr>
        <w:tc>
          <w:tcPr>
            <w:tcW w:w="657" w:type="dxa"/>
            <w:tcBorders>
              <w:top w:val="single" w:sz="8" w:space="0" w:color="auto"/>
              <w:left w:val="single" w:sz="12" w:space="0" w:color="auto"/>
              <w:bottom w:val="single" w:sz="12" w:space="0" w:color="auto"/>
              <w:right w:val="single" w:sz="8" w:space="0" w:color="auto"/>
            </w:tcBorders>
            <w:noWrap/>
            <w:tcMar>
              <w:top w:w="43" w:type="dxa"/>
              <w:left w:w="13" w:type="dxa"/>
              <w:bottom w:w="43" w:type="dxa"/>
              <w:right w:w="13" w:type="dxa"/>
            </w:tcMar>
          </w:tcPr>
          <w:p w:rsidR="0083661F" w:rsidRPr="00E21A30" w:rsidRDefault="0083661F" w:rsidP="00B44A2E">
            <w:pPr>
              <w:tabs>
                <w:tab w:val="left" w:pos="70"/>
              </w:tabs>
              <w:spacing w:after="0" w:line="240" w:lineRule="auto"/>
              <w:ind w:hanging="75"/>
              <w:jc w:val="center"/>
              <w:rPr>
                <w:rFonts w:cs="Arial"/>
                <w:b/>
                <w:bCs/>
                <w:sz w:val="18"/>
                <w:szCs w:val="18"/>
              </w:rPr>
            </w:pPr>
            <w:r w:rsidRPr="00E21A30">
              <w:rPr>
                <w:rFonts w:cs="Arial"/>
                <w:b/>
                <w:bCs/>
                <w:sz w:val="18"/>
                <w:szCs w:val="18"/>
              </w:rPr>
              <w:t>1138</w:t>
            </w:r>
          </w:p>
        </w:tc>
        <w:tc>
          <w:tcPr>
            <w:tcW w:w="4050" w:type="dxa"/>
            <w:gridSpan w:val="2"/>
            <w:tcBorders>
              <w:top w:val="single" w:sz="8" w:space="0" w:color="auto"/>
              <w:left w:val="single" w:sz="8" w:space="0" w:color="auto"/>
              <w:bottom w:val="single" w:sz="12" w:space="0" w:color="auto"/>
              <w:right w:val="single" w:sz="8" w:space="0" w:color="auto"/>
            </w:tcBorders>
            <w:noWrap/>
            <w:tcMar>
              <w:top w:w="43" w:type="dxa"/>
              <w:left w:w="72" w:type="dxa"/>
              <w:bottom w:w="43" w:type="dxa"/>
              <w:right w:w="13" w:type="dxa"/>
            </w:tcMar>
          </w:tcPr>
          <w:p w:rsidR="0083661F" w:rsidRPr="00E21A30" w:rsidRDefault="0083661F" w:rsidP="00B44A2E">
            <w:pPr>
              <w:spacing w:after="0" w:line="240" w:lineRule="auto"/>
              <w:ind w:left="108"/>
              <w:rPr>
                <w:rFonts w:cs="Arial"/>
                <w:b/>
                <w:bCs/>
                <w:sz w:val="18"/>
                <w:szCs w:val="18"/>
              </w:rPr>
            </w:pPr>
            <w:r w:rsidRPr="00E21A30">
              <w:rPr>
                <w:rFonts w:cs="Arial"/>
                <w:b/>
                <w:bCs/>
                <w:sz w:val="18"/>
                <w:szCs w:val="18"/>
              </w:rPr>
              <w:t>Deferred Compensation Match Payments</w:t>
            </w:r>
          </w:p>
        </w:tc>
        <w:tc>
          <w:tcPr>
            <w:tcW w:w="5009" w:type="dxa"/>
            <w:gridSpan w:val="2"/>
            <w:tcBorders>
              <w:top w:val="single" w:sz="8" w:space="0" w:color="auto"/>
              <w:left w:val="single" w:sz="8" w:space="0" w:color="auto"/>
              <w:bottom w:val="single" w:sz="12" w:space="0" w:color="auto"/>
              <w:right w:val="single" w:sz="12" w:space="0" w:color="auto"/>
            </w:tcBorders>
            <w:noWrap/>
            <w:tcMar>
              <w:top w:w="43" w:type="dxa"/>
              <w:left w:w="86" w:type="dxa"/>
              <w:bottom w:w="43" w:type="dxa"/>
              <w:right w:w="13" w:type="dxa"/>
            </w:tcMar>
          </w:tcPr>
          <w:p w:rsidR="0083661F" w:rsidRPr="00E21A30" w:rsidRDefault="0083661F" w:rsidP="00B44A2E">
            <w:pPr>
              <w:tabs>
                <w:tab w:val="left" w:pos="-60"/>
              </w:tabs>
              <w:spacing w:after="0" w:line="240" w:lineRule="auto"/>
              <w:ind w:left="-60"/>
              <w:rPr>
                <w:sz w:val="18"/>
                <w:szCs w:val="18"/>
              </w:rPr>
            </w:pPr>
            <w:r w:rsidRPr="00E21A30">
              <w:rPr>
                <w:sz w:val="18"/>
                <w:szCs w:val="18"/>
              </w:rPr>
              <w:t>One-half of employee’s contribution per pay period, up to a max of $20 per pay period or $480 annually</w:t>
            </w:r>
          </w:p>
        </w:tc>
      </w:tr>
    </w:tbl>
    <w:p w:rsidR="00B44A2E" w:rsidRPr="002269A5" w:rsidRDefault="0038049A" w:rsidP="00B44A2E">
      <w:pPr>
        <w:tabs>
          <w:tab w:val="left" w:pos="-630"/>
        </w:tabs>
        <w:spacing w:before="120" w:after="0"/>
        <w:ind w:left="86" w:right="14" w:hanging="86"/>
        <w:rPr>
          <w:rFonts w:ascii="Bookman Old Style" w:hAnsi="Bookman Old Style"/>
          <w:sz w:val="14"/>
          <w:szCs w:val="14"/>
        </w:rPr>
      </w:pPr>
      <w:r w:rsidRPr="0038049A">
        <w:rPr>
          <w:rFonts w:ascii="Bookman Old Style" w:hAnsi="Bookman Old Style"/>
          <w:sz w:val="14"/>
          <w:szCs w:val="14"/>
          <w:vertAlign w:val="superscript"/>
        </w:rPr>
        <w:t xml:space="preserve">1 </w:t>
      </w:r>
      <w:r w:rsidRPr="0038049A">
        <w:rPr>
          <w:rFonts w:ascii="Bookman Old Style" w:hAnsi="Bookman Old Style"/>
          <w:sz w:val="14"/>
          <w:szCs w:val="14"/>
        </w:rPr>
        <w:t>Percentages refer to percent of salaries.  Health insurance premiums are the annual employer dollar cost for an individual.</w:t>
      </w:r>
    </w:p>
    <w:p w:rsidR="00B44A2E" w:rsidRPr="002269A5" w:rsidRDefault="0038049A" w:rsidP="002E3265">
      <w:pPr>
        <w:tabs>
          <w:tab w:val="left" w:pos="-630"/>
        </w:tabs>
        <w:spacing w:before="40" w:after="0"/>
        <w:ind w:left="86" w:right="14" w:hanging="86"/>
        <w:rPr>
          <w:rFonts w:ascii="Bookman Old Style" w:hAnsi="Bookman Old Style"/>
          <w:sz w:val="14"/>
          <w:szCs w:val="14"/>
        </w:rPr>
      </w:pPr>
      <w:r w:rsidRPr="0038049A">
        <w:rPr>
          <w:rFonts w:ascii="Bookman Old Style" w:hAnsi="Bookman Old Style"/>
          <w:sz w:val="14"/>
          <w:szCs w:val="14"/>
          <w:vertAlign w:val="superscript"/>
        </w:rPr>
        <w:t xml:space="preserve">2 </w:t>
      </w:r>
      <w:r w:rsidRPr="0038049A">
        <w:rPr>
          <w:rFonts w:ascii="Bookman Old Style" w:hAnsi="Bookman Old Style"/>
          <w:sz w:val="14"/>
          <w:szCs w:val="14"/>
        </w:rPr>
        <w:t xml:space="preserve">The $113,700 Social Security cap applies to calendar year 2013.  Future year caps are unknown at this time.  </w:t>
      </w:r>
    </w:p>
    <w:p w:rsidR="00B44A2E" w:rsidRPr="002269A5" w:rsidRDefault="0038049A" w:rsidP="002E3265">
      <w:pPr>
        <w:pStyle w:val="littlebullets"/>
        <w:tabs>
          <w:tab w:val="clear" w:pos="540"/>
          <w:tab w:val="clear" w:pos="900"/>
          <w:tab w:val="clear" w:pos="1260"/>
          <w:tab w:val="clear" w:pos="1620"/>
          <w:tab w:val="clear" w:pos="3240"/>
          <w:tab w:val="clear" w:pos="5040"/>
          <w:tab w:val="left" w:pos="-630"/>
        </w:tabs>
        <w:spacing w:before="40" w:after="0" w:line="240" w:lineRule="auto"/>
        <w:ind w:left="86" w:right="14" w:hanging="86"/>
        <w:rPr>
          <w:rFonts w:ascii="Bookman Old Style" w:hAnsi="Bookman Old Style"/>
          <w:sz w:val="14"/>
          <w:szCs w:val="14"/>
        </w:rPr>
      </w:pPr>
      <w:r w:rsidRPr="0038049A">
        <w:rPr>
          <w:rFonts w:ascii="Bookman Old Style" w:hAnsi="Bookman Old Style"/>
          <w:sz w:val="14"/>
          <w:szCs w:val="14"/>
          <w:vertAlign w:val="superscript"/>
        </w:rPr>
        <w:t xml:space="preserve">3 </w:t>
      </w:r>
      <w:r w:rsidRPr="0038049A">
        <w:rPr>
          <w:rFonts w:ascii="Bookman Old Style" w:hAnsi="Bookman Old Style"/>
          <w:sz w:val="14"/>
          <w:szCs w:val="14"/>
        </w:rPr>
        <w:t>For institutions of higher education: This includes alternative retirement options, such as TIAA-CREF, for those employees as defined in § 51.1-126 of the Code of Virginia. Plan 1 employees are those employees hired before July 1, 2010.  Plan 2 employees were hired after June 30, 2010.</w:t>
      </w:r>
    </w:p>
    <w:p w:rsidR="00B44A2E" w:rsidRPr="002269A5" w:rsidRDefault="0038049A" w:rsidP="002E3265">
      <w:pPr>
        <w:pStyle w:val="littlebullets"/>
        <w:tabs>
          <w:tab w:val="clear" w:pos="540"/>
          <w:tab w:val="clear" w:pos="900"/>
          <w:tab w:val="clear" w:pos="1260"/>
          <w:tab w:val="clear" w:pos="1620"/>
          <w:tab w:val="clear" w:pos="3240"/>
          <w:tab w:val="clear" w:pos="5040"/>
          <w:tab w:val="left" w:pos="-720"/>
        </w:tabs>
        <w:spacing w:before="40" w:after="0" w:line="240" w:lineRule="auto"/>
        <w:ind w:left="86" w:right="14" w:hanging="86"/>
        <w:rPr>
          <w:rFonts w:ascii="Bookman Old Style" w:hAnsi="Bookman Old Style" w:cs="Arial"/>
          <w:b/>
          <w:bCs/>
          <w:color w:val="000000"/>
          <w:sz w:val="14"/>
          <w:szCs w:val="14"/>
        </w:rPr>
      </w:pPr>
      <w:r w:rsidRPr="0038049A">
        <w:rPr>
          <w:rFonts w:ascii="Bookman Old Style" w:hAnsi="Bookman Old Style"/>
          <w:sz w:val="14"/>
          <w:szCs w:val="14"/>
          <w:vertAlign w:val="superscript"/>
        </w:rPr>
        <w:t xml:space="preserve">4 </w:t>
      </w:r>
      <w:r w:rsidRPr="0038049A">
        <w:rPr>
          <w:rFonts w:ascii="Bookman Old Style" w:hAnsi="Bookman Old Style"/>
          <w:sz w:val="14"/>
          <w:szCs w:val="14"/>
        </w:rPr>
        <w:t xml:space="preserve">Used for employees eligible for a defined contribution plan established pursuant to § 51.1-126.5 of the Code of Virginia. </w:t>
      </w:r>
    </w:p>
    <w:p w:rsidR="005D67BC" w:rsidRPr="00DD214B" w:rsidRDefault="005D67BC" w:rsidP="00804ED8">
      <w:pPr>
        <w:pStyle w:val="MyHeading"/>
      </w:pPr>
      <w:bookmarkStart w:id="12" w:name="_Toc355338437"/>
      <w:proofErr w:type="spellStart"/>
      <w:r w:rsidRPr="00DD214B">
        <w:lastRenderedPageBreak/>
        <w:t>Nonpersonal</w:t>
      </w:r>
      <w:proofErr w:type="spellEnd"/>
      <w:r w:rsidRPr="00DD214B">
        <w:t xml:space="preserve"> Services</w:t>
      </w:r>
      <w:bookmarkEnd w:id="12"/>
    </w:p>
    <w:p w:rsidR="00DD214B" w:rsidRPr="00003579" w:rsidRDefault="00273233" w:rsidP="00DD214B">
      <w:pPr>
        <w:pStyle w:val="HelpTopic"/>
        <w:spacing w:before="0" w:after="0"/>
        <w:jc w:val="center"/>
        <w:rPr>
          <w:sz w:val="20"/>
          <w:szCs w:val="20"/>
        </w:rPr>
      </w:pPr>
      <w:r w:rsidRPr="00273233">
        <w:rPr>
          <w:rFonts w:asciiTheme="majorHAnsi" w:hAnsiTheme="majorHAnsi"/>
          <w:sz w:val="20"/>
          <w:szCs w:val="20"/>
        </w:rPr>
        <w:pict>
          <v:rect id="_x0000_i1029" style="width:468pt;height:1.5pt" o:hralign="center" o:hrstd="t" o:hr="t" fillcolor="#a0a0a0" stroked="f"/>
        </w:pict>
      </w:r>
    </w:p>
    <w:p w:rsidR="005D67BC" w:rsidRPr="00DD214B" w:rsidRDefault="005D67BC" w:rsidP="005D67BC">
      <w:pPr>
        <w:pStyle w:val="StyleTimesNewRomanAfter4pt"/>
        <w:spacing w:after="0"/>
        <w:ind w:firstLine="0"/>
        <w:rPr>
          <w:rFonts w:asciiTheme="minorHAnsi" w:hAnsiTheme="minorHAnsi"/>
        </w:rPr>
      </w:pPr>
      <w:r w:rsidRPr="00DD214B">
        <w:rPr>
          <w:rFonts w:asciiTheme="minorHAnsi" w:hAnsiTheme="minorHAnsi"/>
        </w:rPr>
        <w:t xml:space="preserve">For all </w:t>
      </w:r>
      <w:proofErr w:type="spellStart"/>
      <w:r w:rsidRPr="00DD214B">
        <w:rPr>
          <w:rFonts w:asciiTheme="minorHAnsi" w:hAnsiTheme="minorHAnsi"/>
        </w:rPr>
        <w:t>nonpersonal</w:t>
      </w:r>
      <w:proofErr w:type="spellEnd"/>
      <w:r w:rsidRPr="00DD214B">
        <w:rPr>
          <w:rFonts w:asciiTheme="minorHAnsi" w:hAnsiTheme="minorHAnsi"/>
        </w:rPr>
        <w:t xml:space="preserve"> services, you must array your planned expenses by major object of expenditure unless a more detailed subobject submission is required.  In order to obtain more detailed and accurate information about selected expenses, you must use the subobject codes listed </w:t>
      </w:r>
      <w:r w:rsidR="00FD005B">
        <w:rPr>
          <w:rFonts w:asciiTheme="minorHAnsi" w:hAnsiTheme="minorHAnsi"/>
        </w:rPr>
        <w:t>below</w:t>
      </w:r>
      <w:r w:rsidR="001F18A7">
        <w:rPr>
          <w:rFonts w:asciiTheme="minorHAnsi" w:hAnsiTheme="minorHAnsi"/>
        </w:rPr>
        <w:t>, if applicable to your anticipated expenses</w:t>
      </w:r>
      <w:r w:rsidR="00FD005B">
        <w:rPr>
          <w:rFonts w:asciiTheme="minorHAnsi" w:hAnsiTheme="minorHAnsi"/>
        </w:rPr>
        <w:t xml:space="preserve">.  </w:t>
      </w:r>
      <w:r w:rsidRPr="00DD214B">
        <w:rPr>
          <w:rFonts w:asciiTheme="minorHAnsi" w:hAnsiTheme="minorHAnsi"/>
        </w:rPr>
        <w:t>The purpose of collecting budget information at the more detailed subobject level for these selected subobject</w:t>
      </w:r>
      <w:r w:rsidR="00FD005B">
        <w:rPr>
          <w:rFonts w:asciiTheme="minorHAnsi" w:hAnsiTheme="minorHAnsi"/>
        </w:rPr>
        <w:t xml:space="preserve"> codes</w:t>
      </w:r>
      <w:r w:rsidRPr="00DD214B">
        <w:rPr>
          <w:rFonts w:asciiTheme="minorHAnsi" w:hAnsiTheme="minorHAnsi"/>
        </w:rPr>
        <w:t xml:space="preserve"> is to better identify these areas of cost and to more completely understand the impact of agency based rate changes.  In other cases, the subobject detail represents an area targeted for cost control and/or management, or an area where better tracking of costs are needed.</w:t>
      </w:r>
    </w:p>
    <w:p w:rsidR="00FB3FE0" w:rsidRDefault="005D67BC" w:rsidP="006522C9">
      <w:pPr>
        <w:pStyle w:val="StyleTimesNewRomanAfter4pt"/>
        <w:ind w:firstLine="0"/>
        <w:rPr>
          <w:rFonts w:asciiTheme="minorHAnsi" w:hAnsiTheme="minorHAnsi"/>
        </w:rPr>
      </w:pPr>
      <w:r w:rsidRPr="00DD214B">
        <w:rPr>
          <w:rFonts w:asciiTheme="minorHAnsi" w:hAnsiTheme="minorHAnsi"/>
        </w:rPr>
        <w:t xml:space="preserve">Any remaining dollar amount for </w:t>
      </w:r>
      <w:proofErr w:type="spellStart"/>
      <w:r w:rsidRPr="00DD214B">
        <w:rPr>
          <w:rFonts w:asciiTheme="minorHAnsi" w:hAnsiTheme="minorHAnsi"/>
        </w:rPr>
        <w:t>nonpersonal</w:t>
      </w:r>
      <w:proofErr w:type="spellEnd"/>
      <w:r w:rsidRPr="00DD214B">
        <w:rPr>
          <w:rFonts w:asciiTheme="minorHAnsi" w:hAnsiTheme="minorHAnsi"/>
        </w:rPr>
        <w:t xml:space="preserve"> services </w:t>
      </w:r>
      <w:r w:rsidR="00C25AC1">
        <w:rPr>
          <w:rFonts w:asciiTheme="minorHAnsi" w:hAnsiTheme="minorHAnsi"/>
        </w:rPr>
        <w:t xml:space="preserve">beyond those required in the list below </w:t>
      </w:r>
      <w:r w:rsidRPr="00DD214B">
        <w:rPr>
          <w:rFonts w:asciiTheme="minorHAnsi" w:hAnsiTheme="minorHAnsi"/>
        </w:rPr>
        <w:t xml:space="preserve">may be grouped in the “xx95” convenience codes, which are </w:t>
      </w:r>
      <w:r w:rsidR="00FB3FE0">
        <w:rPr>
          <w:rFonts w:asciiTheme="minorHAnsi" w:hAnsiTheme="minorHAnsi"/>
        </w:rPr>
        <w:t xml:space="preserve">listed </w:t>
      </w:r>
      <w:r w:rsidR="00C25AC1">
        <w:rPr>
          <w:rFonts w:asciiTheme="minorHAnsi" w:hAnsiTheme="minorHAnsi"/>
        </w:rPr>
        <w:t>on the following page</w:t>
      </w:r>
      <w:r w:rsidRPr="00DD214B">
        <w:rPr>
          <w:rFonts w:asciiTheme="minorHAnsi" w:hAnsiTheme="minorHAnsi"/>
        </w:rPr>
        <w:t xml:space="preserve">.  </w:t>
      </w:r>
      <w:r w:rsidR="0038049A" w:rsidRPr="0038049A">
        <w:rPr>
          <w:rFonts w:asciiTheme="minorHAnsi" w:hAnsiTheme="minorHAnsi"/>
          <w:b/>
        </w:rPr>
        <w:t>No other convenience subobject codes may be used.</w:t>
      </w:r>
      <w:r w:rsidRPr="00DD214B">
        <w:rPr>
          <w:rFonts w:asciiTheme="minorHAnsi" w:hAnsiTheme="minorHAnsi"/>
        </w:rPr>
        <w:t xml:space="preserve"> </w:t>
      </w:r>
    </w:p>
    <w:p w:rsidR="005D67BC" w:rsidRPr="00C25AC1" w:rsidRDefault="00C25AC1" w:rsidP="00804ED8">
      <w:pPr>
        <w:pStyle w:val="SubHeading"/>
      </w:pPr>
      <w:bookmarkStart w:id="13" w:name="_Toc355338438"/>
      <w:r w:rsidRPr="00C25AC1">
        <w:t xml:space="preserve">Required </w:t>
      </w:r>
      <w:proofErr w:type="spellStart"/>
      <w:r w:rsidRPr="00C25AC1">
        <w:t>Nonpersonal</w:t>
      </w:r>
      <w:proofErr w:type="spellEnd"/>
      <w:r w:rsidRPr="00C25AC1">
        <w:t xml:space="preserve"> Service Subobject Codes</w:t>
      </w:r>
      <w:bookmarkEnd w:id="13"/>
      <w:r w:rsidR="005D67BC" w:rsidRPr="00C25AC1">
        <w:t xml:space="preserve"> </w:t>
      </w:r>
    </w:p>
    <w:p w:rsidR="00696E3F" w:rsidRDefault="00696E3F" w:rsidP="006522C9">
      <w:pPr>
        <w:pStyle w:val="StyleTimesNewRomanAfter4pt"/>
        <w:ind w:firstLine="0"/>
        <w:rPr>
          <w:rFonts w:asciiTheme="minorHAnsi" w:hAnsiTheme="minorHAnsi"/>
        </w:rPr>
        <w:sectPr w:rsidR="00696E3F" w:rsidSect="00736732">
          <w:footerReference w:type="default" r:id="rId12"/>
          <w:pgSz w:w="12240" w:h="15840" w:code="1"/>
          <w:pgMar w:top="864" w:right="1152" w:bottom="1008" w:left="1152" w:header="720" w:footer="720" w:gutter="0"/>
          <w:pgNumType w:start="1"/>
          <w:cols w:space="720"/>
          <w:docGrid w:linePitch="360"/>
        </w:sectPr>
      </w:pPr>
    </w:p>
    <w:tbl>
      <w:tblPr>
        <w:tblStyle w:val="LightShading-Accent11"/>
        <w:tblW w:w="4965" w:type="dxa"/>
        <w:tblLook w:val="04A0"/>
      </w:tblPr>
      <w:tblGrid>
        <w:gridCol w:w="622"/>
        <w:gridCol w:w="4343"/>
      </w:tblGrid>
      <w:tr w:rsidR="00696E3F" w:rsidRPr="00696E3F" w:rsidTr="006522C9">
        <w:trPr>
          <w:cnfStyle w:val="1000000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lastRenderedPageBreak/>
              <w:t>1205</w:t>
            </w:r>
          </w:p>
        </w:tc>
        <w:tc>
          <w:tcPr>
            <w:tcW w:w="4343" w:type="dxa"/>
            <w:hideMark/>
          </w:tcPr>
          <w:p w:rsidR="00696E3F" w:rsidRPr="00445552" w:rsidRDefault="00696E3F" w:rsidP="00696E3F">
            <w:pPr>
              <w:cnfStyle w:val="100000000000"/>
              <w:rPr>
                <w:rFonts w:eastAsia="Times New Roman" w:cs="Times New Roman"/>
                <w:b w:val="0"/>
                <w:color w:val="000000"/>
                <w:sz w:val="20"/>
                <w:szCs w:val="20"/>
              </w:rPr>
            </w:pPr>
            <w:r w:rsidRPr="00445552">
              <w:rPr>
                <w:rFonts w:eastAsia="Times New Roman" w:cs="Times New Roman"/>
                <w:b w:val="0"/>
                <w:color w:val="000000"/>
                <w:sz w:val="20"/>
                <w:szCs w:val="20"/>
              </w:rPr>
              <w:t>Seat Management Services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Postal Services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Printing Services</w:t>
            </w:r>
          </w:p>
        </w:tc>
      </w:tr>
      <w:tr w:rsidR="00696E3F" w:rsidRPr="00696E3F" w:rsidTr="006522C9">
        <w:trPr>
          <w:cnfStyle w:val="000000100000"/>
          <w:trHeight w:val="35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Telecommunications Services (provided by VITA)</w:t>
            </w:r>
          </w:p>
        </w:tc>
      </w:tr>
      <w:tr w:rsidR="00696E3F" w:rsidRPr="00696E3F" w:rsidTr="006522C9">
        <w:trPr>
          <w:trHeight w:val="45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Telecommunications Services (provided by non-state vendor)</w:t>
            </w:r>
          </w:p>
        </w:tc>
      </w:tr>
      <w:tr w:rsidR="00696E3F" w:rsidRPr="00696E3F" w:rsidTr="006522C9">
        <w:trPr>
          <w:cnfStyle w:val="000000100000"/>
          <w:trHeight w:val="495"/>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1218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Telecommunications Services (provided by another state agency)</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Auditing Services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Fiscal Services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Attorney Services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Management Services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Personnel Management Services</w:t>
            </w:r>
          </w:p>
        </w:tc>
      </w:tr>
      <w:tr w:rsidR="00696E3F" w:rsidRPr="00696E3F" w:rsidTr="006522C9">
        <w:trPr>
          <w:cnfStyle w:val="000000100000"/>
          <w:trHeight w:val="306"/>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Public Informational and Public Relations Services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Legal Services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1248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Media Services</w:t>
            </w:r>
          </w:p>
        </w:tc>
      </w:tr>
      <w:tr w:rsidR="00696E3F" w:rsidRPr="00696E3F" w:rsidTr="006522C9">
        <w:trPr>
          <w:trHeight w:val="54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Information Management Design and Development Services (provided by VITA)</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VITA Pass Thru Charges</w:t>
            </w:r>
          </w:p>
        </w:tc>
      </w:tr>
      <w:tr w:rsidR="00696E3F" w:rsidRPr="00696E3F" w:rsidTr="006522C9">
        <w:trPr>
          <w:trHeight w:val="72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Information Management Design and Development Services (provided by another State agency (not VITA) or vendor)</w:t>
            </w:r>
          </w:p>
        </w:tc>
      </w:tr>
      <w:tr w:rsidR="00696E3F" w:rsidRPr="00696E3F" w:rsidTr="006522C9">
        <w:trPr>
          <w:cnfStyle w:val="000000100000"/>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Hardware Maintenance Services</w:t>
            </w:r>
          </w:p>
        </w:tc>
      </w:tr>
      <w:tr w:rsidR="00696E3F" w:rsidRPr="00696E3F" w:rsidTr="006522C9">
        <w:trPr>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Maintenance Services</w:t>
            </w:r>
          </w:p>
        </w:tc>
      </w:tr>
      <w:tr w:rsidR="00696E3F" w:rsidRPr="00696E3F" w:rsidTr="006522C9">
        <w:trPr>
          <w:cnfStyle w:val="000000100000"/>
          <w:trHeight w:val="26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Operating Services (provided by VITA)</w:t>
            </w:r>
          </w:p>
        </w:tc>
      </w:tr>
      <w:tr w:rsidR="00696E3F" w:rsidRPr="00696E3F" w:rsidTr="006522C9">
        <w:trPr>
          <w:trHeight w:val="585"/>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Operating Services (provided by another State agency (not VITA) or vendor)</w:t>
            </w:r>
          </w:p>
        </w:tc>
      </w:tr>
      <w:tr w:rsidR="00696E3F" w:rsidRPr="00696E3F" w:rsidTr="006522C9">
        <w:trPr>
          <w:cnfStyle w:val="000000100000"/>
          <w:trHeight w:val="585"/>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VITA Information Technology Infrastructure Services (Provided by VITA)</w:t>
            </w:r>
          </w:p>
        </w:tc>
      </w:tr>
      <w:tr w:rsidR="00696E3F" w:rsidRPr="00696E3F" w:rsidTr="006522C9">
        <w:trPr>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1279</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Development Services</w:t>
            </w:r>
          </w:p>
        </w:tc>
      </w:tr>
      <w:tr w:rsidR="00696E3F" w:rsidRPr="00696E3F" w:rsidTr="006522C9">
        <w:trPr>
          <w:cnfStyle w:val="000000100000"/>
          <w:trHeight w:val="18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lastRenderedPageBreak/>
              <w:t>1292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VITA Services Provided to Out of Scope Agencies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Coal</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Gas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Gasoline</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Oil</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Steam</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1326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Wood Fuels</w:t>
            </w:r>
          </w:p>
        </w:tc>
      </w:tr>
      <w:tr w:rsidR="00696E3F" w:rsidRPr="00696E3F" w:rsidTr="006522C9">
        <w:trPr>
          <w:trHeight w:val="44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Categorical Aid to Local Governments and Constitutional Officers (Not Technology)</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Payments in Lieu of Taxes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General Revenue Sharing</w:t>
            </w:r>
          </w:p>
        </w:tc>
      </w:tr>
      <w:tr w:rsidR="00696E3F" w:rsidRPr="00696E3F" w:rsidTr="006522C9">
        <w:trPr>
          <w:cnfStyle w:val="000000100000"/>
          <w:trHeight w:val="24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Disaster Aid to Local Governments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Special Payments to Localities</w:t>
            </w:r>
          </w:p>
        </w:tc>
      </w:tr>
      <w:tr w:rsidR="00696E3F" w:rsidRPr="00696E3F" w:rsidTr="006522C9">
        <w:trPr>
          <w:cnfStyle w:val="000000100000"/>
          <w:trHeight w:val="42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1436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Categorical Aid to Local Governments and Constitutional Officers for Technology</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1441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 xml:space="preserve">Payments to </w:t>
            </w:r>
            <w:proofErr w:type="spellStart"/>
            <w:r w:rsidRPr="006522C9">
              <w:rPr>
                <w:rFonts w:eastAsia="Times New Roman" w:cs="Times New Roman"/>
                <w:color w:val="000000"/>
                <w:sz w:val="20"/>
                <w:szCs w:val="20"/>
              </w:rPr>
              <w:t>Substate</w:t>
            </w:r>
            <w:proofErr w:type="spellEnd"/>
            <w:r w:rsidRPr="006522C9">
              <w:rPr>
                <w:rFonts w:eastAsia="Times New Roman" w:cs="Times New Roman"/>
                <w:color w:val="000000"/>
                <w:sz w:val="20"/>
                <w:szCs w:val="20"/>
              </w:rPr>
              <w:t xml:space="preserve"> Entities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1442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Payments to Individuals</w:t>
            </w:r>
          </w:p>
        </w:tc>
      </w:tr>
      <w:tr w:rsidR="00696E3F" w:rsidRPr="00696E3F" w:rsidTr="006522C9">
        <w:trPr>
          <w:trHeight w:val="306"/>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Grants to Intergovernmental Organizations</w:t>
            </w:r>
          </w:p>
        </w:tc>
      </w:tr>
      <w:tr w:rsidR="00696E3F" w:rsidRPr="00696E3F" w:rsidTr="006522C9">
        <w:trPr>
          <w:cnfStyle w:val="000000100000"/>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Grants Nongovernmental Organizations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Out-of-State Political Entities</w:t>
            </w:r>
          </w:p>
        </w:tc>
      </w:tr>
      <w:tr w:rsidR="00696E3F" w:rsidRPr="00696E3F" w:rsidTr="006522C9">
        <w:trPr>
          <w:cnfStyle w:val="000000100000"/>
          <w:trHeight w:val="44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1455</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Disaster Cost Reimbursements to Other State Agencies</w:t>
            </w:r>
          </w:p>
        </w:tc>
      </w:tr>
      <w:tr w:rsidR="00696E3F" w:rsidRPr="00696E3F" w:rsidTr="006522C9">
        <w:trPr>
          <w:trHeight w:val="288"/>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1456</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Disaster Aid to Nongovernmental Organizations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Aircraft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Automobile Liability</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1513</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Flood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1514</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Inland Marine Insurance</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1515</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Marine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1516</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Property Insurance</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1517</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Boiler and Machinery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lastRenderedPageBreak/>
              <w:t>1521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Capital Leases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Central Processor Capital Leases</w:t>
            </w:r>
          </w:p>
        </w:tc>
      </w:tr>
      <w:tr w:rsidR="00696E3F" w:rsidRPr="00696E3F" w:rsidTr="006522C9">
        <w:trPr>
          <w:trHeight w:val="288"/>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Capital Leases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Equipment Capital Leases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Building Capital Leases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Land Capital Leases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1527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Land and Building Capital Leases</w:t>
            </w:r>
          </w:p>
        </w:tc>
      </w:tr>
      <w:tr w:rsidR="00696E3F" w:rsidRPr="00696E3F" w:rsidTr="006522C9">
        <w:trPr>
          <w:cnfStyle w:val="000000100000"/>
          <w:trHeight w:val="33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Rentals (not mainframe)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Rentals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Equipment Rentals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Building Rentals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Land Rentals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Land and Building Rentals</w:t>
            </w:r>
          </w:p>
        </w:tc>
      </w:tr>
      <w:tr w:rsidR="00696E3F" w:rsidRPr="00696E3F" w:rsidTr="006522C9">
        <w:trPr>
          <w:cnfStyle w:val="000000100000"/>
          <w:trHeight w:val="306"/>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 xml:space="preserve">Building Rentals – State Owned Facilities </w:t>
            </w:r>
          </w:p>
        </w:tc>
      </w:tr>
      <w:tr w:rsidR="00696E3F" w:rsidRPr="00696E3F" w:rsidTr="006522C9">
        <w:trPr>
          <w:trHeight w:val="53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1539</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Building Rentals – Non-State Owned Facilities (Payment administered by DGS)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1542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Electrical Service Charges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1543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Refuse Service Charges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1544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Water and Sewer Service Charges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1547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Private Vendor Service Charges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General Liability Insurance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Money and Securities Insurance</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1553</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Medical Malpractice</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1554</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Surety Bonds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1555</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Workers' Compensation</w:t>
            </w:r>
          </w:p>
        </w:tc>
      </w:tr>
      <w:tr w:rsidR="00696E3F" w:rsidRPr="00696E3F" w:rsidTr="006522C9">
        <w:trPr>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1561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Peripheral Installment Purchases</w:t>
            </w:r>
          </w:p>
        </w:tc>
      </w:tr>
      <w:tr w:rsidR="00696E3F" w:rsidRPr="00696E3F" w:rsidTr="006522C9">
        <w:trPr>
          <w:cnfStyle w:val="000000100000"/>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1562</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Processor Installment Purchases</w:t>
            </w:r>
          </w:p>
        </w:tc>
      </w:tr>
      <w:tr w:rsidR="00696E3F" w:rsidRPr="00696E3F" w:rsidTr="006522C9">
        <w:trPr>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1563</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Computer Software Installment Purchases</w:t>
            </w:r>
          </w:p>
        </w:tc>
      </w:tr>
      <w:tr w:rsidR="00696E3F" w:rsidRPr="00696E3F" w:rsidTr="006522C9">
        <w:trPr>
          <w:cnfStyle w:val="000000100000"/>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Desktop Client Computers (microcomputers)</w:t>
            </w:r>
          </w:p>
        </w:tc>
      </w:tr>
      <w:tr w:rsidR="00696E3F" w:rsidRPr="00696E3F" w:rsidTr="006522C9">
        <w:trPr>
          <w:trHeight w:val="36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lastRenderedPageBreak/>
              <w:t>2212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Mobile Client Computers (microcomputers)</w:t>
            </w:r>
          </w:p>
        </w:tc>
      </w:tr>
      <w:tr w:rsidR="00696E3F" w:rsidRPr="00696E3F" w:rsidTr="006522C9">
        <w:trPr>
          <w:cnfStyle w:val="000000100000"/>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2214</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Mainframe Computers and Components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2215</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Network Servers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Network Components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2217</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Other Computer Equipment</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2218</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Computer Software Purchases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2219</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Development Tools Purchases</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Bond Issuance Expenses</w:t>
            </w:r>
          </w:p>
        </w:tc>
      </w:tr>
      <w:tr w:rsidR="00696E3F" w:rsidRPr="00696E3F" w:rsidTr="006522C9">
        <w:trPr>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Bond Issuance Fees</w:t>
            </w:r>
          </w:p>
        </w:tc>
      </w:tr>
      <w:tr w:rsidR="00696E3F" w:rsidRPr="00696E3F" w:rsidTr="006522C9">
        <w:trPr>
          <w:cnfStyle w:val="000000100000"/>
          <w:trHeight w:val="24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3113</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General Obligation Bond Financing</w:t>
            </w:r>
          </w:p>
        </w:tc>
      </w:tr>
      <w:tr w:rsidR="00696E3F" w:rsidRPr="00696E3F" w:rsidTr="006522C9">
        <w:trPr>
          <w:trHeight w:val="27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3114</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General Obligation Bond Interest Retirement</w:t>
            </w:r>
          </w:p>
        </w:tc>
      </w:tr>
      <w:tr w:rsidR="00696E3F" w:rsidRPr="00696E3F" w:rsidTr="006522C9">
        <w:trPr>
          <w:cnfStyle w:val="000000100000"/>
          <w:trHeight w:val="300"/>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3115</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Revenue Bond Financing</w:t>
            </w:r>
          </w:p>
        </w:tc>
      </w:tr>
      <w:tr w:rsidR="00696E3F" w:rsidRPr="00696E3F" w:rsidTr="006522C9">
        <w:trPr>
          <w:trHeight w:val="306"/>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3116</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Revenue Bond Interest Retirement</w:t>
            </w:r>
          </w:p>
        </w:tc>
      </w:tr>
      <w:tr w:rsidR="00696E3F" w:rsidRPr="00696E3F" w:rsidTr="006522C9">
        <w:trPr>
          <w:cnfStyle w:val="000000100000"/>
          <w:trHeight w:val="35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3117</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Revenue Bond Principal Retirement</w:t>
            </w:r>
          </w:p>
        </w:tc>
      </w:tr>
      <w:tr w:rsidR="00696E3F" w:rsidRPr="00696E3F" w:rsidTr="006522C9">
        <w:trPr>
          <w:trHeight w:val="42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3121</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Anticipation Loan Interest Retirement – Not drawdown or mortgage loans</w:t>
            </w:r>
          </w:p>
        </w:tc>
      </w:tr>
      <w:tr w:rsidR="00696E3F" w:rsidRPr="00696E3F" w:rsidTr="006522C9">
        <w:trPr>
          <w:cnfStyle w:val="000000100000"/>
          <w:trHeight w:val="558"/>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3131</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Anticipation Loan Interest Retirement – Drawdown and Mortgage Loans</w:t>
            </w:r>
          </w:p>
        </w:tc>
      </w:tr>
      <w:tr w:rsidR="00696E3F" w:rsidRPr="00696E3F" w:rsidTr="006522C9">
        <w:trPr>
          <w:trHeight w:val="24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3132</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Mortgage Loan Interest Retirement</w:t>
            </w:r>
          </w:p>
        </w:tc>
      </w:tr>
      <w:tr w:rsidR="00696E3F" w:rsidRPr="00696E3F" w:rsidTr="006522C9">
        <w:trPr>
          <w:cnfStyle w:val="000000100000"/>
          <w:trHeight w:val="51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3196</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Indirect Cost Recoveries from Auxiliary Programs for Obligations</w:t>
            </w:r>
          </w:p>
        </w:tc>
      </w:tr>
      <w:tr w:rsidR="00696E3F" w:rsidRPr="00696E3F" w:rsidTr="006522C9">
        <w:trPr>
          <w:trHeight w:val="261"/>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3198</w:t>
            </w:r>
          </w:p>
        </w:tc>
        <w:tc>
          <w:tcPr>
            <w:tcW w:w="4343" w:type="dxa"/>
            <w:hideMark/>
          </w:tcPr>
          <w:p w:rsidR="00696E3F" w:rsidRPr="006522C9" w:rsidRDefault="00696E3F" w:rsidP="00696E3F">
            <w:pPr>
              <w:cnfStyle w:val="000000000000"/>
              <w:rPr>
                <w:rFonts w:eastAsia="Times New Roman" w:cs="Times New Roman"/>
                <w:color w:val="000000"/>
                <w:sz w:val="20"/>
                <w:szCs w:val="20"/>
              </w:rPr>
            </w:pPr>
            <w:r w:rsidRPr="006522C9">
              <w:rPr>
                <w:rFonts w:eastAsia="Times New Roman" w:cs="Times New Roman"/>
                <w:color w:val="000000"/>
                <w:sz w:val="20"/>
                <w:szCs w:val="20"/>
              </w:rPr>
              <w:t>Inter-Agency Recoveries for Obligations</w:t>
            </w:r>
          </w:p>
        </w:tc>
      </w:tr>
      <w:tr w:rsidR="00696E3F" w:rsidRPr="00696E3F" w:rsidTr="006522C9">
        <w:trPr>
          <w:cnfStyle w:val="000000100000"/>
          <w:trHeight w:val="243"/>
        </w:trPr>
        <w:tc>
          <w:tcPr>
            <w:cnfStyle w:val="001000000000"/>
            <w:tcW w:w="622" w:type="dxa"/>
            <w:noWrap/>
            <w:hideMark/>
          </w:tcPr>
          <w:p w:rsidR="00696E3F" w:rsidRPr="00445552" w:rsidRDefault="00696E3F" w:rsidP="00696E3F">
            <w:pPr>
              <w:rPr>
                <w:rFonts w:eastAsia="Times New Roman" w:cs="Times New Roman"/>
                <w:b w:val="0"/>
                <w:color w:val="000000"/>
                <w:sz w:val="20"/>
                <w:szCs w:val="20"/>
              </w:rPr>
            </w:pPr>
            <w:r w:rsidRPr="00445552">
              <w:rPr>
                <w:rFonts w:eastAsia="Times New Roman" w:cs="Times New Roman"/>
                <w:b w:val="0"/>
                <w:color w:val="000000"/>
                <w:sz w:val="20"/>
                <w:szCs w:val="20"/>
              </w:rPr>
              <w:t>3199</w:t>
            </w:r>
          </w:p>
        </w:tc>
        <w:tc>
          <w:tcPr>
            <w:tcW w:w="4343" w:type="dxa"/>
            <w:hideMark/>
          </w:tcPr>
          <w:p w:rsidR="00696E3F" w:rsidRPr="006522C9" w:rsidRDefault="00696E3F" w:rsidP="00696E3F">
            <w:pPr>
              <w:cnfStyle w:val="000000100000"/>
              <w:rPr>
                <w:rFonts w:eastAsia="Times New Roman" w:cs="Times New Roman"/>
                <w:color w:val="000000"/>
                <w:sz w:val="20"/>
                <w:szCs w:val="20"/>
              </w:rPr>
            </w:pPr>
            <w:r w:rsidRPr="006522C9">
              <w:rPr>
                <w:rFonts w:eastAsia="Times New Roman" w:cs="Times New Roman"/>
                <w:color w:val="000000"/>
                <w:sz w:val="20"/>
                <w:szCs w:val="20"/>
              </w:rPr>
              <w:t>Intra-Agency Recoveries for Obligations</w:t>
            </w:r>
          </w:p>
        </w:tc>
      </w:tr>
    </w:tbl>
    <w:p w:rsidR="00696E3F" w:rsidRDefault="00696E3F" w:rsidP="00DD214B">
      <w:pPr>
        <w:pStyle w:val="StyleTimesNewRomanAfter4pt"/>
        <w:spacing w:after="0"/>
        <w:ind w:firstLine="0"/>
        <w:rPr>
          <w:rFonts w:asciiTheme="minorHAnsi" w:hAnsiTheme="minorHAnsi"/>
        </w:rPr>
      </w:pPr>
    </w:p>
    <w:p w:rsidR="00696E3F" w:rsidRDefault="00696E3F" w:rsidP="00DD214B">
      <w:pPr>
        <w:pStyle w:val="StyleTimesNewRomanAfter4pt"/>
        <w:spacing w:after="0"/>
        <w:ind w:firstLine="0"/>
        <w:rPr>
          <w:rFonts w:asciiTheme="minorHAnsi" w:hAnsiTheme="minorHAnsi"/>
        </w:rPr>
      </w:pPr>
    </w:p>
    <w:p w:rsidR="007636BF" w:rsidRPr="00696E3F" w:rsidRDefault="007636BF" w:rsidP="00696E3F">
      <w:pPr>
        <w:pStyle w:val="StyleTimesNewRomanAfter4pt"/>
        <w:spacing w:after="0"/>
        <w:ind w:firstLine="0"/>
        <w:rPr>
          <w:rFonts w:asciiTheme="minorHAnsi" w:hAnsiTheme="minorHAnsi"/>
          <w:sz w:val="22"/>
          <w:szCs w:val="22"/>
        </w:rPr>
      </w:pPr>
    </w:p>
    <w:p w:rsidR="00D06BDD" w:rsidRDefault="00D06BDD" w:rsidP="00DD214B">
      <w:pPr>
        <w:pStyle w:val="Heading1"/>
        <w:spacing w:before="0" w:beforeAutospacing="0" w:after="0" w:afterAutospacing="0"/>
        <w:rPr>
          <w:rFonts w:ascii="Calibri" w:hAnsi="Calibri"/>
          <w:color w:val="4F81BD"/>
          <w:kern w:val="0"/>
          <w:sz w:val="24"/>
          <w:szCs w:val="24"/>
        </w:rPr>
      </w:pPr>
    </w:p>
    <w:p w:rsidR="00696E3F" w:rsidRDefault="00696E3F" w:rsidP="00DD214B">
      <w:pPr>
        <w:pStyle w:val="Heading1"/>
        <w:spacing w:before="0" w:beforeAutospacing="0" w:after="0" w:afterAutospacing="0"/>
        <w:rPr>
          <w:rFonts w:ascii="Calibri" w:hAnsi="Calibri"/>
          <w:color w:val="4F81BD"/>
          <w:kern w:val="0"/>
          <w:sz w:val="24"/>
          <w:szCs w:val="24"/>
        </w:rPr>
        <w:sectPr w:rsidR="00696E3F" w:rsidSect="00696E3F">
          <w:type w:val="continuous"/>
          <w:pgSz w:w="12240" w:h="15840" w:code="1"/>
          <w:pgMar w:top="1008" w:right="1152" w:bottom="1152" w:left="1152" w:header="720" w:footer="720" w:gutter="0"/>
          <w:cols w:num="2" w:space="720"/>
          <w:docGrid w:linePitch="360"/>
        </w:sectPr>
      </w:pPr>
    </w:p>
    <w:p w:rsidR="007C3F00" w:rsidRDefault="007C3F00" w:rsidP="00C25AC1">
      <w:pPr>
        <w:pStyle w:val="StyleTimesNewRomanAfter4pt"/>
        <w:ind w:firstLine="0"/>
        <w:rPr>
          <w:rFonts w:ascii="Calibri" w:hAnsi="Calibri"/>
          <w:b/>
          <w:bCs/>
          <w:color w:val="4F81BD"/>
          <w:szCs w:val="24"/>
        </w:rPr>
      </w:pPr>
    </w:p>
    <w:p w:rsidR="00990A19" w:rsidRDefault="00C25AC1" w:rsidP="00804ED8">
      <w:pPr>
        <w:pStyle w:val="SubHeading"/>
      </w:pPr>
      <w:bookmarkStart w:id="14" w:name="_Toc355338439"/>
      <w:r>
        <w:t>A</w:t>
      </w:r>
      <w:r w:rsidRPr="00C25AC1">
        <w:t xml:space="preserve">llowable </w:t>
      </w:r>
      <w:proofErr w:type="spellStart"/>
      <w:r>
        <w:t>N</w:t>
      </w:r>
      <w:r w:rsidRPr="00C25AC1">
        <w:t>onpersonal</w:t>
      </w:r>
      <w:proofErr w:type="spellEnd"/>
      <w:r w:rsidRPr="00C25AC1">
        <w:t xml:space="preserve"> </w:t>
      </w:r>
      <w:r>
        <w:t>C</w:t>
      </w:r>
      <w:r w:rsidRPr="00C25AC1">
        <w:t xml:space="preserve">onvenience </w:t>
      </w:r>
      <w:r>
        <w:t>C</w:t>
      </w:r>
      <w:r w:rsidRPr="00C25AC1">
        <w:t>odes</w:t>
      </w:r>
      <w:bookmarkEnd w:id="14"/>
    </w:p>
    <w:p w:rsidR="00990A19" w:rsidRDefault="00990A19" w:rsidP="00C25AC1">
      <w:pPr>
        <w:pStyle w:val="StyleTimesNewRomanAfter4pt"/>
        <w:ind w:firstLine="0"/>
        <w:rPr>
          <w:rFonts w:ascii="Calibri" w:hAnsi="Calibri"/>
          <w:b/>
          <w:bCs/>
          <w:color w:val="4F81BD"/>
          <w:sz w:val="32"/>
          <w:szCs w:val="32"/>
        </w:rPr>
        <w:sectPr w:rsidR="00990A19" w:rsidSect="00696E3F">
          <w:type w:val="continuous"/>
          <w:pgSz w:w="12240" w:h="15840" w:code="1"/>
          <w:pgMar w:top="1008" w:right="1152" w:bottom="1152" w:left="1152" w:header="720" w:footer="720" w:gutter="0"/>
          <w:cols w:space="720"/>
          <w:docGrid w:linePitch="360"/>
        </w:sectPr>
      </w:pPr>
    </w:p>
    <w:tbl>
      <w:tblPr>
        <w:tblStyle w:val="LightShading-Accent11"/>
        <w:tblW w:w="4968" w:type="dxa"/>
        <w:tblLook w:val="04A0"/>
      </w:tblPr>
      <w:tblGrid>
        <w:gridCol w:w="740"/>
        <w:gridCol w:w="4228"/>
      </w:tblGrid>
      <w:tr w:rsidR="00990A19" w:rsidRPr="007C3F00" w:rsidTr="00E42737">
        <w:trPr>
          <w:cnfStyle w:val="100000000000"/>
          <w:trHeight w:val="25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lastRenderedPageBreak/>
              <w:t>1295</w:t>
            </w:r>
          </w:p>
        </w:tc>
        <w:tc>
          <w:tcPr>
            <w:tcW w:w="4228" w:type="dxa"/>
            <w:hideMark/>
          </w:tcPr>
          <w:p w:rsidR="00990A19" w:rsidRPr="007C3F00" w:rsidRDefault="00990A19" w:rsidP="00990A19">
            <w:pPr>
              <w:cnfStyle w:val="100000000000"/>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Undistributed Contractual Services</w:t>
            </w:r>
          </w:p>
        </w:tc>
      </w:tr>
      <w:tr w:rsidR="00990A19" w:rsidRPr="007C3F00" w:rsidTr="00E42737">
        <w:trPr>
          <w:cnfStyle w:val="000000100000"/>
          <w:trHeight w:val="313"/>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1395</w:t>
            </w:r>
          </w:p>
        </w:tc>
        <w:tc>
          <w:tcPr>
            <w:tcW w:w="4228" w:type="dxa"/>
            <w:hideMark/>
          </w:tcPr>
          <w:p w:rsidR="00990A19" w:rsidRPr="007C3F00" w:rsidRDefault="00990A19" w:rsidP="00990A19">
            <w:pPr>
              <w:cnfStyle w:val="0000001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Supplies and Materials</w:t>
            </w:r>
          </w:p>
        </w:tc>
      </w:tr>
      <w:tr w:rsidR="00990A19" w:rsidRPr="007C3F00" w:rsidTr="00E42737">
        <w:trPr>
          <w:trHeight w:val="30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1495</w:t>
            </w:r>
          </w:p>
        </w:tc>
        <w:tc>
          <w:tcPr>
            <w:tcW w:w="4228" w:type="dxa"/>
            <w:hideMark/>
          </w:tcPr>
          <w:p w:rsidR="00990A19" w:rsidRPr="007C3F00" w:rsidRDefault="00990A19" w:rsidP="00990A19">
            <w:pPr>
              <w:cnfStyle w:val="0000000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Transfer Payments</w:t>
            </w:r>
          </w:p>
        </w:tc>
      </w:tr>
      <w:tr w:rsidR="00990A19" w:rsidRPr="007C3F00" w:rsidTr="00E42737">
        <w:trPr>
          <w:cnfStyle w:val="000000100000"/>
          <w:trHeight w:val="27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1595</w:t>
            </w:r>
          </w:p>
        </w:tc>
        <w:tc>
          <w:tcPr>
            <w:tcW w:w="4228" w:type="dxa"/>
            <w:hideMark/>
          </w:tcPr>
          <w:p w:rsidR="00990A19" w:rsidRPr="007C3F00" w:rsidRDefault="00990A19" w:rsidP="00990A19">
            <w:pPr>
              <w:cnfStyle w:val="0000001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Continuous Charges</w:t>
            </w:r>
          </w:p>
        </w:tc>
      </w:tr>
    </w:tbl>
    <w:p w:rsidR="00E42737" w:rsidRPr="007C3F00" w:rsidRDefault="00E42737">
      <w:pPr>
        <w:rPr>
          <w:sz w:val="20"/>
          <w:szCs w:val="20"/>
        </w:rPr>
      </w:pPr>
    </w:p>
    <w:p w:rsidR="00E42737" w:rsidRPr="007C3F00" w:rsidRDefault="00E42737">
      <w:pPr>
        <w:rPr>
          <w:sz w:val="20"/>
          <w:szCs w:val="20"/>
        </w:rPr>
      </w:pPr>
    </w:p>
    <w:p w:rsidR="00E42737" w:rsidRPr="007C3F00" w:rsidRDefault="00E42737">
      <w:pPr>
        <w:rPr>
          <w:sz w:val="20"/>
          <w:szCs w:val="20"/>
        </w:rPr>
      </w:pPr>
    </w:p>
    <w:tbl>
      <w:tblPr>
        <w:tblStyle w:val="LightShading-Accent11"/>
        <w:tblW w:w="4968" w:type="dxa"/>
        <w:tblLook w:val="04A0"/>
      </w:tblPr>
      <w:tblGrid>
        <w:gridCol w:w="740"/>
        <w:gridCol w:w="4228"/>
      </w:tblGrid>
      <w:tr w:rsidR="00990A19" w:rsidRPr="007C3F00" w:rsidTr="00E42737">
        <w:trPr>
          <w:cnfStyle w:val="100000000000"/>
          <w:trHeight w:val="25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lastRenderedPageBreak/>
              <w:t>2195</w:t>
            </w:r>
          </w:p>
        </w:tc>
        <w:tc>
          <w:tcPr>
            <w:tcW w:w="4228" w:type="dxa"/>
            <w:hideMark/>
          </w:tcPr>
          <w:p w:rsidR="00990A19" w:rsidRPr="007C3F00" w:rsidRDefault="00990A19" w:rsidP="00990A19">
            <w:pPr>
              <w:cnfStyle w:val="100000000000"/>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Undistributed Property and Improvements</w:t>
            </w:r>
          </w:p>
        </w:tc>
      </w:tr>
      <w:tr w:rsidR="00990A19" w:rsidRPr="003D43EB" w:rsidTr="00E42737">
        <w:trPr>
          <w:cnfStyle w:val="000000100000"/>
          <w:trHeight w:val="300"/>
        </w:trPr>
        <w:tc>
          <w:tcPr>
            <w:cnfStyle w:val="001000000000"/>
            <w:tcW w:w="740" w:type="dxa"/>
            <w:noWrap/>
            <w:hideMark/>
          </w:tcPr>
          <w:p w:rsidR="00990A19" w:rsidRPr="003D43EB" w:rsidRDefault="00990A19" w:rsidP="00990A19">
            <w:pPr>
              <w:rPr>
                <w:rFonts w:eastAsia="Times New Roman" w:cs="Times New Roman"/>
                <w:b w:val="0"/>
                <w:color w:val="000000"/>
                <w:sz w:val="20"/>
                <w:szCs w:val="20"/>
              </w:rPr>
            </w:pPr>
            <w:r w:rsidRPr="003D43EB">
              <w:rPr>
                <w:rFonts w:eastAsia="Times New Roman" w:cs="Times New Roman"/>
                <w:b w:val="0"/>
                <w:color w:val="000000"/>
                <w:sz w:val="20"/>
                <w:szCs w:val="20"/>
              </w:rPr>
              <w:t>2295</w:t>
            </w:r>
          </w:p>
        </w:tc>
        <w:tc>
          <w:tcPr>
            <w:tcW w:w="4228" w:type="dxa"/>
            <w:hideMark/>
          </w:tcPr>
          <w:p w:rsidR="00990A19" w:rsidRPr="003D43EB" w:rsidRDefault="00990A19" w:rsidP="00990A19">
            <w:pPr>
              <w:cnfStyle w:val="000000100000"/>
              <w:rPr>
                <w:rFonts w:eastAsia="Times New Roman" w:cs="Times New Roman"/>
                <w:color w:val="000000"/>
                <w:sz w:val="20"/>
                <w:szCs w:val="20"/>
              </w:rPr>
            </w:pPr>
            <w:r w:rsidRPr="003D43EB">
              <w:rPr>
                <w:rFonts w:eastAsia="Times New Roman" w:cs="Times New Roman"/>
                <w:color w:val="000000"/>
                <w:sz w:val="20"/>
                <w:szCs w:val="20"/>
              </w:rPr>
              <w:t>Undistributed Equipment</w:t>
            </w:r>
          </w:p>
        </w:tc>
      </w:tr>
      <w:tr w:rsidR="00990A19" w:rsidRPr="007C3F00" w:rsidTr="00E42737">
        <w:trPr>
          <w:trHeight w:val="306"/>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2395</w:t>
            </w:r>
          </w:p>
        </w:tc>
        <w:tc>
          <w:tcPr>
            <w:tcW w:w="4228" w:type="dxa"/>
            <w:hideMark/>
          </w:tcPr>
          <w:p w:rsidR="00990A19" w:rsidRPr="007C3F00" w:rsidRDefault="00990A19" w:rsidP="00990A19">
            <w:pPr>
              <w:cnfStyle w:val="0000000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Plant and Equipment</w:t>
            </w:r>
          </w:p>
        </w:tc>
      </w:tr>
      <w:tr w:rsidR="00990A19" w:rsidRPr="007C3F00" w:rsidTr="00E42737">
        <w:trPr>
          <w:cnfStyle w:val="000000100000"/>
          <w:trHeight w:val="300"/>
        </w:trPr>
        <w:tc>
          <w:tcPr>
            <w:cnfStyle w:val="001000000000"/>
            <w:tcW w:w="740" w:type="dxa"/>
            <w:noWrap/>
            <w:hideMark/>
          </w:tcPr>
          <w:p w:rsidR="00990A19" w:rsidRPr="007C3F00" w:rsidRDefault="00990A19" w:rsidP="00990A19">
            <w:pPr>
              <w:rPr>
                <w:rFonts w:ascii="Calibri" w:eastAsia="Times New Roman" w:hAnsi="Calibri" w:cs="Times New Roman"/>
                <w:b w:val="0"/>
                <w:color w:val="000000"/>
                <w:sz w:val="20"/>
                <w:szCs w:val="20"/>
              </w:rPr>
            </w:pPr>
            <w:r w:rsidRPr="007C3F00">
              <w:rPr>
                <w:rFonts w:ascii="Calibri" w:eastAsia="Times New Roman" w:hAnsi="Calibri" w:cs="Times New Roman"/>
                <w:b w:val="0"/>
                <w:color w:val="000000"/>
                <w:sz w:val="20"/>
                <w:szCs w:val="20"/>
              </w:rPr>
              <w:t>3195</w:t>
            </w:r>
          </w:p>
        </w:tc>
        <w:tc>
          <w:tcPr>
            <w:tcW w:w="4228" w:type="dxa"/>
            <w:hideMark/>
          </w:tcPr>
          <w:p w:rsidR="00990A19" w:rsidRPr="007C3F00" w:rsidRDefault="00990A19" w:rsidP="00990A19">
            <w:pPr>
              <w:cnfStyle w:val="000000100000"/>
              <w:rPr>
                <w:rFonts w:ascii="Calibri" w:eastAsia="Times New Roman" w:hAnsi="Calibri" w:cs="Times New Roman"/>
                <w:color w:val="000000"/>
                <w:sz w:val="20"/>
                <w:szCs w:val="20"/>
              </w:rPr>
            </w:pPr>
            <w:r w:rsidRPr="007C3F00">
              <w:rPr>
                <w:rFonts w:ascii="Calibri" w:eastAsia="Times New Roman" w:hAnsi="Calibri" w:cs="Times New Roman"/>
                <w:color w:val="000000"/>
                <w:sz w:val="20"/>
                <w:szCs w:val="20"/>
              </w:rPr>
              <w:t>Undistributed Obligations</w:t>
            </w:r>
          </w:p>
        </w:tc>
      </w:tr>
    </w:tbl>
    <w:p w:rsidR="00990A19" w:rsidRDefault="00990A19" w:rsidP="00990A19">
      <w:pPr>
        <w:rPr>
          <w:rFonts w:eastAsia="Times New Roman" w:cs="Times New Roman"/>
          <w:bCs/>
          <w:color w:val="000000"/>
          <w:sz w:val="20"/>
          <w:szCs w:val="20"/>
        </w:rPr>
      </w:pPr>
    </w:p>
    <w:p w:rsidR="00990A19" w:rsidRDefault="00990A19" w:rsidP="00990A19">
      <w:pPr>
        <w:rPr>
          <w:rFonts w:eastAsia="Times New Roman" w:cs="Times New Roman"/>
          <w:bCs/>
          <w:color w:val="000000"/>
          <w:sz w:val="20"/>
          <w:szCs w:val="20"/>
        </w:rPr>
      </w:pPr>
    </w:p>
    <w:p w:rsidR="00990A19" w:rsidRDefault="00990A19" w:rsidP="00990A19">
      <w:pPr>
        <w:rPr>
          <w:rFonts w:eastAsia="Times New Roman" w:cs="Times New Roman"/>
          <w:bCs/>
          <w:color w:val="000000"/>
          <w:sz w:val="20"/>
          <w:szCs w:val="20"/>
        </w:rPr>
      </w:pPr>
    </w:p>
    <w:p w:rsidR="00990A19" w:rsidRDefault="00990A19" w:rsidP="00990A19">
      <w:pPr>
        <w:rPr>
          <w:rFonts w:eastAsia="Times New Roman" w:cs="Times New Roman"/>
          <w:bCs/>
          <w:color w:val="000000"/>
          <w:sz w:val="20"/>
          <w:szCs w:val="20"/>
        </w:rPr>
        <w:sectPr w:rsidR="00990A19" w:rsidSect="00990A19">
          <w:type w:val="continuous"/>
          <w:pgSz w:w="12240" w:h="15840" w:code="1"/>
          <w:pgMar w:top="1008" w:right="1152" w:bottom="1152" w:left="1152" w:header="720" w:footer="720" w:gutter="0"/>
          <w:cols w:num="2" w:space="720"/>
          <w:docGrid w:linePitch="360"/>
        </w:sectPr>
      </w:pPr>
    </w:p>
    <w:p w:rsidR="00990A19" w:rsidRDefault="00990A19" w:rsidP="00990A19">
      <w:pPr>
        <w:rPr>
          <w:rFonts w:eastAsia="Times New Roman" w:cs="Times New Roman"/>
          <w:bCs/>
          <w:color w:val="000000"/>
          <w:sz w:val="20"/>
          <w:szCs w:val="20"/>
        </w:rPr>
      </w:pPr>
    </w:p>
    <w:p w:rsidR="00B753D5" w:rsidRDefault="00B753D5">
      <w:pPr>
        <w:rPr>
          <w:rFonts w:eastAsia="Times New Roman" w:cs="Times New Roman"/>
          <w:bCs/>
          <w:color w:val="000000"/>
          <w:sz w:val="20"/>
          <w:szCs w:val="20"/>
        </w:rPr>
      </w:pPr>
      <w:r>
        <w:rPr>
          <w:b/>
          <w:color w:val="000000"/>
          <w:sz w:val="20"/>
          <w:szCs w:val="20"/>
        </w:rPr>
        <w:br w:type="page"/>
      </w:r>
    </w:p>
    <w:p w:rsidR="005D67BC" w:rsidRPr="00DD214B" w:rsidRDefault="005D67BC" w:rsidP="00804ED8">
      <w:pPr>
        <w:pStyle w:val="MyHeading"/>
      </w:pPr>
      <w:bookmarkStart w:id="15" w:name="_Toc355338440"/>
      <w:r w:rsidRPr="00DD214B">
        <w:lastRenderedPageBreak/>
        <w:t>Sum Sufficient Appropriations</w:t>
      </w:r>
      <w:bookmarkEnd w:id="15"/>
    </w:p>
    <w:p w:rsidR="00DD214B" w:rsidRPr="00003579" w:rsidRDefault="00273233" w:rsidP="00DD214B">
      <w:pPr>
        <w:pStyle w:val="HelpTopic"/>
        <w:spacing w:before="0" w:after="0"/>
        <w:jc w:val="center"/>
        <w:rPr>
          <w:sz w:val="20"/>
          <w:szCs w:val="20"/>
        </w:rPr>
      </w:pPr>
      <w:r w:rsidRPr="00273233">
        <w:rPr>
          <w:rFonts w:asciiTheme="majorHAnsi" w:hAnsiTheme="majorHAnsi"/>
          <w:sz w:val="20"/>
          <w:szCs w:val="20"/>
        </w:rPr>
        <w:pict>
          <v:rect id="_x0000_i1030" style="width:468pt;height:1.5pt" o:hralign="center" o:hrstd="t" o:hr="t" fillcolor="#a0a0a0" stroked="f"/>
        </w:pict>
      </w:r>
    </w:p>
    <w:p w:rsidR="00D31409" w:rsidRDefault="00D31409" w:rsidP="00EA094E">
      <w:pPr>
        <w:pStyle w:val="StyleTimesNewRomanAfter4pt"/>
        <w:spacing w:after="0"/>
        <w:ind w:firstLine="0"/>
        <w:rPr>
          <w:rFonts w:asciiTheme="minorHAnsi" w:hAnsiTheme="minorHAnsi"/>
        </w:rPr>
      </w:pPr>
      <w:r>
        <w:rPr>
          <w:rFonts w:asciiTheme="minorHAnsi" w:hAnsiTheme="minorHAnsi"/>
        </w:rPr>
        <w:t xml:space="preserve">Internal service fund requests will involve the same level of base budget entry as other requests with the exception and use of a recovery subobject code.  More specifically your </w:t>
      </w:r>
      <w:r w:rsidR="005D67BC" w:rsidRPr="00EA094E">
        <w:rPr>
          <w:rFonts w:asciiTheme="minorHAnsi" w:hAnsiTheme="minorHAnsi"/>
        </w:rPr>
        <w:t xml:space="preserve">entries on sum sufficient and/or internal service fund requests, </w:t>
      </w:r>
      <w:r>
        <w:rPr>
          <w:rFonts w:asciiTheme="minorHAnsi" w:hAnsiTheme="minorHAnsi"/>
        </w:rPr>
        <w:t xml:space="preserve">should </w:t>
      </w:r>
      <w:r w:rsidR="005D67BC" w:rsidRPr="00EA094E">
        <w:rPr>
          <w:rFonts w:asciiTheme="minorHAnsi" w:hAnsiTheme="minorHAnsi"/>
        </w:rPr>
        <w:t xml:space="preserve">array budget requests by program, service area, subobject code, and fund detail for all expenditures and then use subobject code 4101 (Sum Sufficient Recovery) to offset the total dollar amount being requested at the service area level.  </w:t>
      </w:r>
    </w:p>
    <w:p w:rsidR="00D31409" w:rsidRDefault="00D31409" w:rsidP="00EA094E">
      <w:pPr>
        <w:pStyle w:val="StyleTimesNewRomanAfter4pt"/>
        <w:spacing w:after="0"/>
        <w:ind w:firstLine="0"/>
        <w:rPr>
          <w:rFonts w:asciiTheme="minorHAnsi" w:hAnsiTheme="minorHAnsi"/>
        </w:rPr>
      </w:pPr>
    </w:p>
    <w:p w:rsidR="005D67BC" w:rsidRPr="00EA094E" w:rsidRDefault="00D31409" w:rsidP="00EA094E">
      <w:pPr>
        <w:pStyle w:val="StyleTimesNewRomanAfter4pt"/>
        <w:spacing w:after="0"/>
        <w:ind w:firstLine="0"/>
        <w:rPr>
          <w:rFonts w:asciiTheme="minorHAnsi" w:hAnsiTheme="minorHAnsi"/>
        </w:rPr>
      </w:pPr>
      <w:r>
        <w:rPr>
          <w:rFonts w:asciiTheme="minorHAnsi" w:hAnsiTheme="minorHAnsi"/>
        </w:rPr>
        <w:t>It is important to note that y</w:t>
      </w:r>
      <w:r w:rsidR="005D67BC" w:rsidRPr="00EA094E">
        <w:rPr>
          <w:rFonts w:asciiTheme="minorHAnsi" w:hAnsiTheme="minorHAnsi"/>
        </w:rPr>
        <w:t>ou should enter a request for positions supported by the sum sufficient appropriation in the same manner as any other request for positions.</w:t>
      </w:r>
    </w:p>
    <w:p w:rsidR="00B3231B" w:rsidRPr="00D06BDD" w:rsidRDefault="00B3231B" w:rsidP="00AC523E">
      <w:pPr>
        <w:pStyle w:val="Heading1"/>
        <w:spacing w:before="0" w:beforeAutospacing="0" w:after="0" w:afterAutospacing="0"/>
        <w:rPr>
          <w:rFonts w:ascii="Calibri" w:hAnsi="Calibri"/>
          <w:color w:val="4F81BD"/>
          <w:kern w:val="0"/>
          <w:sz w:val="24"/>
          <w:szCs w:val="24"/>
        </w:rPr>
      </w:pPr>
    </w:p>
    <w:p w:rsidR="00AC523E" w:rsidRDefault="00AC523E" w:rsidP="00804ED8">
      <w:pPr>
        <w:pStyle w:val="MyHeading"/>
      </w:pPr>
      <w:bookmarkStart w:id="16" w:name="_Toc355338441"/>
      <w:r>
        <w:t>Components</w:t>
      </w:r>
      <w:bookmarkEnd w:id="16"/>
    </w:p>
    <w:p w:rsidR="0082417B" w:rsidRPr="00003579" w:rsidRDefault="00273233" w:rsidP="0082417B">
      <w:pPr>
        <w:pStyle w:val="HelpTopic"/>
        <w:spacing w:before="0" w:after="0"/>
        <w:jc w:val="center"/>
        <w:rPr>
          <w:sz w:val="20"/>
          <w:szCs w:val="20"/>
        </w:rPr>
      </w:pPr>
      <w:r w:rsidRPr="00273233">
        <w:rPr>
          <w:rFonts w:asciiTheme="majorHAnsi" w:hAnsiTheme="majorHAnsi"/>
          <w:sz w:val="20"/>
          <w:szCs w:val="20"/>
        </w:rPr>
        <w:pict>
          <v:rect id="_x0000_i1031" style="width:468pt;height:1.5pt" o:hralign="center" o:hrstd="t" o:hr="t" fillcolor="#a0a0a0" stroked="f"/>
        </w:pict>
      </w:r>
    </w:p>
    <w:p w:rsidR="003C05E7" w:rsidRDefault="003C05E7" w:rsidP="00AC523E">
      <w:pPr>
        <w:pStyle w:val="Heading1"/>
        <w:spacing w:before="0" w:beforeAutospacing="0" w:after="0" w:afterAutospacing="0"/>
        <w:rPr>
          <w:rFonts w:asciiTheme="minorHAnsi" w:hAnsiTheme="minorHAnsi"/>
          <w:b w:val="0"/>
          <w:bCs w:val="0"/>
          <w:kern w:val="0"/>
          <w:sz w:val="24"/>
          <w:szCs w:val="20"/>
        </w:rPr>
      </w:pPr>
      <w:r>
        <w:rPr>
          <w:rFonts w:asciiTheme="minorHAnsi" w:hAnsiTheme="minorHAnsi"/>
          <w:b w:val="0"/>
          <w:bCs w:val="0"/>
          <w:kern w:val="0"/>
          <w:sz w:val="24"/>
          <w:szCs w:val="20"/>
        </w:rPr>
        <w:t>Components are a</w:t>
      </w:r>
      <w:r w:rsidRPr="003C05E7">
        <w:rPr>
          <w:rFonts w:asciiTheme="minorHAnsi" w:hAnsiTheme="minorHAnsi"/>
          <w:b w:val="0"/>
          <w:bCs w:val="0"/>
          <w:kern w:val="0"/>
          <w:sz w:val="24"/>
          <w:szCs w:val="20"/>
        </w:rPr>
        <w:t xml:space="preserve"> discrete </w:t>
      </w:r>
      <w:r w:rsidR="00510443">
        <w:rPr>
          <w:rFonts w:asciiTheme="minorHAnsi" w:hAnsiTheme="minorHAnsi"/>
          <w:b w:val="0"/>
          <w:bCs w:val="0"/>
          <w:kern w:val="0"/>
          <w:sz w:val="24"/>
          <w:szCs w:val="20"/>
        </w:rPr>
        <w:t>portion</w:t>
      </w:r>
      <w:r w:rsidRPr="003C05E7">
        <w:rPr>
          <w:rFonts w:asciiTheme="minorHAnsi" w:hAnsiTheme="minorHAnsi"/>
          <w:b w:val="0"/>
          <w:bCs w:val="0"/>
          <w:kern w:val="0"/>
          <w:sz w:val="24"/>
          <w:szCs w:val="20"/>
        </w:rPr>
        <w:t xml:space="preserve"> of an agency’s budget that further breaks down its activities or services</w:t>
      </w:r>
      <w:r>
        <w:rPr>
          <w:rFonts w:asciiTheme="minorHAnsi" w:hAnsiTheme="minorHAnsi"/>
          <w:b w:val="0"/>
          <w:bCs w:val="0"/>
          <w:kern w:val="0"/>
          <w:sz w:val="24"/>
          <w:szCs w:val="20"/>
        </w:rPr>
        <w:t xml:space="preserve">.  As with the base submission created two years ago, you must allocate your agency’s base budget across components. </w:t>
      </w:r>
      <w:r w:rsidR="00A02308">
        <w:rPr>
          <w:rFonts w:asciiTheme="minorHAnsi" w:hAnsiTheme="minorHAnsi"/>
          <w:b w:val="0"/>
          <w:bCs w:val="0"/>
          <w:kern w:val="0"/>
          <w:sz w:val="24"/>
          <w:szCs w:val="20"/>
        </w:rPr>
        <w:t xml:space="preserve">For detailed instructions on completing this requirement, see the Performance Budgeting System instructions included </w:t>
      </w:r>
      <w:r w:rsidR="00A02308" w:rsidRPr="00624CF8">
        <w:rPr>
          <w:rFonts w:asciiTheme="minorHAnsi" w:hAnsiTheme="minorHAnsi"/>
          <w:b w:val="0"/>
          <w:bCs w:val="0"/>
          <w:kern w:val="0"/>
          <w:sz w:val="24"/>
          <w:szCs w:val="20"/>
        </w:rPr>
        <w:t xml:space="preserve">in Appendix </w:t>
      </w:r>
      <w:r w:rsidR="00F22E92" w:rsidRPr="00624CF8">
        <w:rPr>
          <w:rFonts w:asciiTheme="minorHAnsi" w:hAnsiTheme="minorHAnsi"/>
          <w:b w:val="0"/>
          <w:bCs w:val="0"/>
          <w:kern w:val="0"/>
          <w:sz w:val="24"/>
          <w:szCs w:val="20"/>
        </w:rPr>
        <w:t>A</w:t>
      </w:r>
      <w:r w:rsidR="00A02308" w:rsidRPr="00F22E92">
        <w:rPr>
          <w:rFonts w:asciiTheme="minorHAnsi" w:hAnsiTheme="minorHAnsi"/>
          <w:b w:val="0"/>
          <w:bCs w:val="0"/>
          <w:kern w:val="0"/>
          <w:sz w:val="24"/>
          <w:szCs w:val="20"/>
        </w:rPr>
        <w:t xml:space="preserve">.  </w:t>
      </w:r>
      <w:r w:rsidRPr="00F22E92">
        <w:rPr>
          <w:rFonts w:asciiTheme="minorHAnsi" w:hAnsiTheme="minorHAnsi"/>
          <w:b w:val="0"/>
          <w:bCs w:val="0"/>
          <w:kern w:val="0"/>
          <w:sz w:val="24"/>
          <w:szCs w:val="20"/>
        </w:rPr>
        <w:t xml:space="preserve"> </w:t>
      </w:r>
      <w:r w:rsidR="00A02308" w:rsidRPr="00744EE1">
        <w:rPr>
          <w:rFonts w:asciiTheme="minorHAnsi" w:hAnsiTheme="minorHAnsi"/>
          <w:b w:val="0"/>
          <w:bCs w:val="0"/>
          <w:kern w:val="0"/>
          <w:sz w:val="24"/>
          <w:szCs w:val="20"/>
        </w:rPr>
        <w:t xml:space="preserve">A </w:t>
      </w:r>
      <w:r w:rsidR="00744EE1" w:rsidRPr="00744EE1">
        <w:rPr>
          <w:rFonts w:asciiTheme="minorHAnsi" w:hAnsiTheme="minorHAnsi"/>
          <w:b w:val="0"/>
          <w:bCs w:val="0"/>
          <w:kern w:val="0"/>
          <w:sz w:val="24"/>
          <w:szCs w:val="20"/>
        </w:rPr>
        <w:t xml:space="preserve">detailed </w:t>
      </w:r>
      <w:r w:rsidR="00A02308" w:rsidRPr="00744EE1">
        <w:rPr>
          <w:rFonts w:asciiTheme="minorHAnsi" w:hAnsiTheme="minorHAnsi"/>
          <w:b w:val="0"/>
          <w:bCs w:val="0"/>
          <w:kern w:val="0"/>
          <w:sz w:val="24"/>
          <w:szCs w:val="20"/>
        </w:rPr>
        <w:t xml:space="preserve">listing of the components </w:t>
      </w:r>
      <w:r w:rsidR="00744EE1" w:rsidRPr="00744EE1">
        <w:rPr>
          <w:rFonts w:asciiTheme="minorHAnsi" w:hAnsiTheme="minorHAnsi"/>
          <w:b w:val="0"/>
          <w:bCs w:val="0"/>
          <w:kern w:val="0"/>
          <w:sz w:val="24"/>
          <w:szCs w:val="20"/>
        </w:rPr>
        <w:t xml:space="preserve">records </w:t>
      </w:r>
      <w:r w:rsidR="00A02308" w:rsidRPr="00744EE1">
        <w:rPr>
          <w:rFonts w:asciiTheme="minorHAnsi" w:hAnsiTheme="minorHAnsi"/>
          <w:b w:val="0"/>
          <w:bCs w:val="0"/>
          <w:kern w:val="0"/>
          <w:sz w:val="24"/>
          <w:szCs w:val="20"/>
        </w:rPr>
        <w:t xml:space="preserve">used by your agency </w:t>
      </w:r>
      <w:r w:rsidR="00744EE1" w:rsidRPr="00744EE1">
        <w:rPr>
          <w:rFonts w:asciiTheme="minorHAnsi" w:hAnsiTheme="minorHAnsi"/>
          <w:b w:val="0"/>
          <w:bCs w:val="0"/>
          <w:kern w:val="0"/>
          <w:sz w:val="24"/>
          <w:szCs w:val="20"/>
        </w:rPr>
        <w:t xml:space="preserve">that equal to the budgeted amounts included in </w:t>
      </w:r>
      <w:r w:rsidR="00744EE1">
        <w:rPr>
          <w:rFonts w:asciiTheme="minorHAnsi" w:hAnsiTheme="minorHAnsi"/>
          <w:b w:val="0"/>
          <w:bCs w:val="0"/>
          <w:kern w:val="0"/>
          <w:sz w:val="24"/>
          <w:szCs w:val="20"/>
        </w:rPr>
        <w:t xml:space="preserve">FY </w:t>
      </w:r>
      <w:r w:rsidR="00744EE1" w:rsidRPr="00744EE1">
        <w:rPr>
          <w:rFonts w:asciiTheme="minorHAnsi" w:hAnsiTheme="minorHAnsi"/>
          <w:b w:val="0"/>
          <w:bCs w:val="0"/>
          <w:kern w:val="0"/>
          <w:sz w:val="24"/>
          <w:szCs w:val="20"/>
        </w:rPr>
        <w:t>2014 in Chapter 806 is included on the DPB Web Site.  You may choose to use data from this source to import into the Performance Budgeting System</w:t>
      </w:r>
      <w:r w:rsidR="00744EE1">
        <w:rPr>
          <w:rFonts w:asciiTheme="minorHAnsi" w:hAnsiTheme="minorHAnsi"/>
          <w:b w:val="0"/>
          <w:bCs w:val="0"/>
          <w:kern w:val="0"/>
          <w:sz w:val="24"/>
          <w:szCs w:val="20"/>
        </w:rPr>
        <w:t>.</w:t>
      </w:r>
    </w:p>
    <w:p w:rsidR="003C05E7" w:rsidRDefault="003C05E7" w:rsidP="00AC523E">
      <w:pPr>
        <w:pStyle w:val="Heading1"/>
        <w:spacing w:before="0" w:beforeAutospacing="0" w:after="0" w:afterAutospacing="0"/>
        <w:rPr>
          <w:rFonts w:asciiTheme="minorHAnsi" w:hAnsiTheme="minorHAnsi"/>
          <w:b w:val="0"/>
          <w:bCs w:val="0"/>
          <w:kern w:val="0"/>
          <w:sz w:val="24"/>
          <w:szCs w:val="20"/>
        </w:rPr>
      </w:pPr>
    </w:p>
    <w:p w:rsidR="00AC523E" w:rsidRDefault="003C05E7" w:rsidP="00804ED8">
      <w:pPr>
        <w:pStyle w:val="MyHeading"/>
      </w:pPr>
      <w:r w:rsidRPr="003C05E7">
        <w:rPr>
          <w:rFonts w:asciiTheme="minorHAnsi" w:hAnsiTheme="minorHAnsi"/>
          <w:sz w:val="24"/>
          <w:szCs w:val="20"/>
        </w:rPr>
        <w:t xml:space="preserve"> </w:t>
      </w:r>
      <w:bookmarkStart w:id="17" w:name="_Toc355338442"/>
      <w:r w:rsidR="00AC523E">
        <w:t>Strategic Link</w:t>
      </w:r>
      <w:bookmarkEnd w:id="17"/>
    </w:p>
    <w:p w:rsidR="00610706" w:rsidRDefault="00273233" w:rsidP="00610706">
      <w:pPr>
        <w:pStyle w:val="HelpTopic"/>
        <w:spacing w:before="0" w:after="0"/>
        <w:rPr>
          <w:rFonts w:asciiTheme="majorHAnsi" w:hAnsiTheme="majorHAnsi"/>
          <w:sz w:val="20"/>
          <w:szCs w:val="20"/>
        </w:rPr>
      </w:pPr>
      <w:r w:rsidRPr="00273233">
        <w:rPr>
          <w:rFonts w:asciiTheme="majorHAnsi" w:hAnsiTheme="majorHAnsi"/>
          <w:sz w:val="20"/>
          <w:szCs w:val="20"/>
        </w:rPr>
        <w:pict>
          <v:rect id="_x0000_i1032" style="width:468pt;height:1.5pt" o:hralign="center" o:hrstd="t" o:hr="t" fillcolor="#a0a0a0" stroked="f"/>
        </w:pict>
      </w:r>
    </w:p>
    <w:p w:rsidR="00610706" w:rsidRPr="00610706" w:rsidRDefault="00610706" w:rsidP="00610706">
      <w:pPr>
        <w:pStyle w:val="HelpTopic"/>
        <w:spacing w:before="0" w:after="0"/>
        <w:rPr>
          <w:rFonts w:asciiTheme="minorHAnsi" w:hAnsiTheme="minorHAnsi"/>
          <w:b w:val="0"/>
          <w:bCs w:val="0"/>
          <w:color w:val="auto"/>
          <w:sz w:val="24"/>
          <w:szCs w:val="20"/>
        </w:rPr>
      </w:pPr>
      <w:r>
        <w:rPr>
          <w:rFonts w:asciiTheme="minorHAnsi" w:hAnsiTheme="minorHAnsi"/>
          <w:b w:val="0"/>
          <w:bCs w:val="0"/>
          <w:color w:val="auto"/>
          <w:sz w:val="24"/>
          <w:szCs w:val="20"/>
        </w:rPr>
        <w:t xml:space="preserve">For Executive branch agencies that participate in strategic planning in the Performance Budgeting System, there is a new requirement in the Base Budget submission to allocate service area budgets to elements of the strategic plans.  Specifically, for each service area, you must allocate the percentage of GF and NGF that support given objectives or measures in your agency’s strategic plan.  You may allocate to either the objective or the measure level.  </w:t>
      </w:r>
      <w:r w:rsidR="00261E21" w:rsidRPr="00261E21">
        <w:rPr>
          <w:rFonts w:asciiTheme="minorHAnsi" w:hAnsiTheme="minorHAnsi"/>
          <w:b w:val="0"/>
          <w:bCs w:val="0"/>
          <w:color w:val="auto"/>
          <w:sz w:val="24"/>
          <w:szCs w:val="20"/>
        </w:rPr>
        <w:t xml:space="preserve">For </w:t>
      </w:r>
      <w:r w:rsidR="00B3231B">
        <w:rPr>
          <w:rFonts w:asciiTheme="minorHAnsi" w:hAnsiTheme="minorHAnsi"/>
          <w:b w:val="0"/>
          <w:bCs w:val="0"/>
          <w:color w:val="auto"/>
          <w:sz w:val="24"/>
          <w:szCs w:val="20"/>
        </w:rPr>
        <w:t xml:space="preserve">additional information and </w:t>
      </w:r>
      <w:r w:rsidR="00261E21" w:rsidRPr="00261E21">
        <w:rPr>
          <w:rFonts w:asciiTheme="minorHAnsi" w:hAnsiTheme="minorHAnsi"/>
          <w:b w:val="0"/>
          <w:bCs w:val="0"/>
          <w:color w:val="auto"/>
          <w:sz w:val="24"/>
          <w:szCs w:val="20"/>
        </w:rPr>
        <w:t xml:space="preserve">detailed instructions on completing this requirement, see the Performance Budgeting System instructions included </w:t>
      </w:r>
      <w:r w:rsidR="00261E21" w:rsidRPr="00624CF8">
        <w:rPr>
          <w:rFonts w:asciiTheme="minorHAnsi" w:hAnsiTheme="minorHAnsi"/>
          <w:b w:val="0"/>
          <w:bCs w:val="0"/>
          <w:color w:val="auto"/>
          <w:sz w:val="24"/>
          <w:szCs w:val="20"/>
        </w:rPr>
        <w:t xml:space="preserve">in Appendix </w:t>
      </w:r>
      <w:r w:rsidR="00F22E92" w:rsidRPr="00624CF8">
        <w:rPr>
          <w:rFonts w:asciiTheme="minorHAnsi" w:hAnsiTheme="minorHAnsi"/>
          <w:b w:val="0"/>
          <w:bCs w:val="0"/>
          <w:color w:val="auto"/>
          <w:sz w:val="24"/>
          <w:szCs w:val="20"/>
        </w:rPr>
        <w:t>A</w:t>
      </w:r>
      <w:r w:rsidR="00261E21" w:rsidRPr="00261E21">
        <w:rPr>
          <w:rFonts w:asciiTheme="minorHAnsi" w:hAnsiTheme="minorHAnsi"/>
          <w:b w:val="0"/>
          <w:bCs w:val="0"/>
          <w:color w:val="auto"/>
          <w:sz w:val="24"/>
          <w:szCs w:val="20"/>
        </w:rPr>
        <w:t>.</w:t>
      </w:r>
      <w:r w:rsidR="00261E21">
        <w:rPr>
          <w:rFonts w:asciiTheme="minorHAnsi" w:hAnsiTheme="minorHAnsi"/>
          <w:b w:val="0"/>
          <w:bCs w:val="0"/>
          <w:color w:val="auto"/>
          <w:sz w:val="24"/>
          <w:szCs w:val="20"/>
        </w:rPr>
        <w:t xml:space="preserve"> </w:t>
      </w:r>
      <w:r>
        <w:rPr>
          <w:rFonts w:asciiTheme="minorHAnsi" w:hAnsiTheme="minorHAnsi"/>
          <w:b w:val="0"/>
          <w:bCs w:val="0"/>
          <w:color w:val="auto"/>
          <w:sz w:val="24"/>
          <w:szCs w:val="20"/>
        </w:rPr>
        <w:t xml:space="preserve"> </w:t>
      </w:r>
    </w:p>
    <w:p w:rsidR="0082417B" w:rsidRPr="00DD214B" w:rsidRDefault="0082417B" w:rsidP="00AC523E">
      <w:pPr>
        <w:pStyle w:val="Heading1"/>
        <w:spacing w:before="0" w:beforeAutospacing="0" w:after="0" w:afterAutospacing="0"/>
        <w:rPr>
          <w:rFonts w:ascii="Calibri" w:hAnsi="Calibri"/>
          <w:color w:val="4F81BD"/>
          <w:kern w:val="0"/>
        </w:rPr>
      </w:pPr>
    </w:p>
    <w:p w:rsidR="00AC523E" w:rsidRPr="00C820A0" w:rsidRDefault="00AC523E" w:rsidP="005D67BC">
      <w:pPr>
        <w:rPr>
          <w:rFonts w:ascii="Bookman Old Style" w:hAnsi="Bookman Old Style"/>
        </w:rPr>
      </w:pPr>
    </w:p>
    <w:p w:rsidR="00D06BDD" w:rsidRDefault="00D06BDD">
      <w:pPr>
        <w:rPr>
          <w:rFonts w:ascii="Calibri" w:eastAsia="Times New Roman" w:hAnsi="Calibri" w:cs="Times New Roman"/>
          <w:b/>
          <w:bCs/>
          <w:color w:val="4F81BD"/>
          <w:sz w:val="48"/>
          <w:szCs w:val="48"/>
        </w:rPr>
      </w:pPr>
    </w:p>
    <w:p w:rsidR="00804ED8" w:rsidRDefault="00804ED8">
      <w:pPr>
        <w:rPr>
          <w:rFonts w:ascii="Calibri" w:eastAsia="Times New Roman" w:hAnsi="Calibri" w:cs="Times New Roman"/>
          <w:b/>
          <w:bCs/>
          <w:color w:val="4F81BD"/>
          <w:sz w:val="56"/>
          <w:szCs w:val="56"/>
          <w:highlight w:val="yellow"/>
        </w:rPr>
      </w:pPr>
      <w:r>
        <w:rPr>
          <w:sz w:val="56"/>
          <w:szCs w:val="56"/>
          <w:highlight w:val="yellow"/>
        </w:rPr>
        <w:br w:type="page"/>
      </w:r>
    </w:p>
    <w:p w:rsidR="00043FD5" w:rsidRDefault="00043FD5" w:rsidP="001E702C">
      <w:pPr>
        <w:pStyle w:val="HelpTopic"/>
        <w:spacing w:before="0" w:after="0"/>
        <w:jc w:val="center"/>
        <w:rPr>
          <w:sz w:val="56"/>
          <w:szCs w:val="56"/>
        </w:rPr>
      </w:pPr>
      <w:r w:rsidRPr="00063611">
        <w:rPr>
          <w:sz w:val="56"/>
          <w:szCs w:val="56"/>
        </w:rPr>
        <w:lastRenderedPageBreak/>
        <w:t xml:space="preserve">APPENDIX </w:t>
      </w:r>
      <w:r w:rsidR="009A6336" w:rsidRPr="00063611">
        <w:rPr>
          <w:sz w:val="56"/>
          <w:szCs w:val="56"/>
        </w:rPr>
        <w:t>A</w:t>
      </w:r>
    </w:p>
    <w:p w:rsidR="001E702C" w:rsidRPr="001E702C" w:rsidRDefault="00273233" w:rsidP="001E702C">
      <w:pPr>
        <w:pStyle w:val="HelpTopic"/>
        <w:spacing w:before="0" w:after="0"/>
        <w:jc w:val="center"/>
        <w:rPr>
          <w:sz w:val="16"/>
          <w:szCs w:val="16"/>
        </w:rPr>
      </w:pPr>
      <w:r w:rsidRPr="00273233">
        <w:rPr>
          <w:rFonts w:asciiTheme="majorHAnsi" w:hAnsiTheme="majorHAnsi"/>
          <w:sz w:val="16"/>
          <w:szCs w:val="16"/>
        </w:rPr>
        <w:pict>
          <v:rect id="_x0000_i1033" style="width:468pt;height:1.5pt" o:hralign="center" o:hrstd="t" o:hr="t" fillcolor="#a0a0a0" stroked="f"/>
        </w:pict>
      </w:r>
    </w:p>
    <w:p w:rsidR="00F62C85" w:rsidRPr="00B72519" w:rsidRDefault="00A226F0" w:rsidP="00804ED8">
      <w:pPr>
        <w:pStyle w:val="MyHeading"/>
      </w:pPr>
      <w:bookmarkStart w:id="18" w:name="_Toc355338443"/>
      <w:r w:rsidRPr="00B72519">
        <w:t>Performance Budget</w:t>
      </w:r>
      <w:r w:rsidR="00BC690C" w:rsidRPr="00B72519">
        <w:t>ing</w:t>
      </w:r>
      <w:r w:rsidRPr="00B72519">
        <w:t xml:space="preserve"> System</w:t>
      </w:r>
      <w:r w:rsidR="00F62C85" w:rsidRPr="00B72519">
        <w:t xml:space="preserve"> </w:t>
      </w:r>
      <w:r w:rsidR="00B72519" w:rsidRPr="00B72519">
        <w:t>Instructions</w:t>
      </w:r>
      <w:bookmarkEnd w:id="18"/>
    </w:p>
    <w:p w:rsidR="00F62C85" w:rsidRPr="00B72519" w:rsidRDefault="00B72519" w:rsidP="00F62C85">
      <w:pPr>
        <w:pStyle w:val="HelpTopic"/>
        <w:spacing w:before="0" w:after="0"/>
        <w:rPr>
          <w:sz w:val="48"/>
          <w:szCs w:val="48"/>
        </w:rPr>
      </w:pPr>
      <w:r>
        <w:rPr>
          <w:sz w:val="48"/>
          <w:szCs w:val="48"/>
        </w:rPr>
        <w:t>Base Budget Module</w:t>
      </w:r>
    </w:p>
    <w:p w:rsidR="00154452" w:rsidRPr="00F62C85" w:rsidRDefault="00273233" w:rsidP="00F62C85">
      <w:pPr>
        <w:pStyle w:val="HelpTopic"/>
        <w:spacing w:before="0" w:after="0"/>
        <w:rPr>
          <w:rFonts w:asciiTheme="majorHAnsi" w:hAnsiTheme="majorHAnsi"/>
          <w:sz w:val="24"/>
          <w:szCs w:val="24"/>
        </w:rPr>
      </w:pPr>
      <w:r w:rsidRPr="00273233">
        <w:rPr>
          <w:rFonts w:asciiTheme="majorHAnsi" w:hAnsiTheme="majorHAnsi"/>
          <w:sz w:val="24"/>
          <w:szCs w:val="24"/>
        </w:rPr>
        <w:pict>
          <v:rect id="_x0000_i1034" style="width:468pt;height:1.5pt" o:hralign="center" o:hrstd="t" o:hr="t" fillcolor="#a0a0a0" stroked="f"/>
        </w:pict>
      </w:r>
      <w:r w:rsidR="0045762D" w:rsidRPr="005D67BC">
        <w:rPr>
          <w:rFonts w:asciiTheme="minorHAnsi" w:hAnsiTheme="minorHAnsi"/>
          <w:b w:val="0"/>
          <w:bCs w:val="0"/>
          <w:color w:val="auto"/>
          <w:sz w:val="24"/>
          <w:szCs w:val="24"/>
        </w:rPr>
        <w:t xml:space="preserve">The base budget module </w:t>
      </w:r>
      <w:r w:rsidR="001C4A19" w:rsidRPr="005D67BC">
        <w:rPr>
          <w:rFonts w:asciiTheme="minorHAnsi" w:hAnsiTheme="minorHAnsi"/>
          <w:b w:val="0"/>
          <w:bCs w:val="0"/>
          <w:color w:val="auto"/>
          <w:sz w:val="24"/>
          <w:szCs w:val="24"/>
        </w:rPr>
        <w:t xml:space="preserve">captures the line item dollar and position details which </w:t>
      </w:r>
      <w:r w:rsidR="00B03923">
        <w:rPr>
          <w:rFonts w:asciiTheme="minorHAnsi" w:hAnsiTheme="minorHAnsi"/>
          <w:b w:val="0"/>
          <w:bCs w:val="0"/>
          <w:color w:val="auto"/>
          <w:sz w:val="24"/>
          <w:szCs w:val="24"/>
        </w:rPr>
        <w:t>become</w:t>
      </w:r>
      <w:r w:rsidR="001C4A19" w:rsidRPr="005D67BC">
        <w:rPr>
          <w:rFonts w:asciiTheme="minorHAnsi" w:hAnsiTheme="minorHAnsi"/>
          <w:b w:val="0"/>
          <w:bCs w:val="0"/>
          <w:color w:val="auto"/>
          <w:sz w:val="24"/>
          <w:szCs w:val="24"/>
        </w:rPr>
        <w:t xml:space="preserve"> the starting point for agency biennial appropriations.  The Department </w:t>
      </w:r>
      <w:r w:rsidR="00AC61C9">
        <w:rPr>
          <w:rFonts w:asciiTheme="minorHAnsi" w:hAnsiTheme="minorHAnsi"/>
          <w:b w:val="0"/>
          <w:bCs w:val="0"/>
          <w:color w:val="auto"/>
          <w:sz w:val="24"/>
          <w:szCs w:val="24"/>
        </w:rPr>
        <w:t>of Planning and Budget creates b</w:t>
      </w:r>
      <w:r w:rsidR="001C4A19" w:rsidRPr="005D67BC">
        <w:rPr>
          <w:rFonts w:asciiTheme="minorHAnsi" w:hAnsiTheme="minorHAnsi"/>
          <w:b w:val="0"/>
          <w:bCs w:val="0"/>
          <w:color w:val="auto"/>
          <w:sz w:val="24"/>
          <w:szCs w:val="24"/>
        </w:rPr>
        <w:t xml:space="preserve">ase budget </w:t>
      </w:r>
      <w:r w:rsidR="00AC61C9">
        <w:rPr>
          <w:rFonts w:asciiTheme="minorHAnsi" w:hAnsiTheme="minorHAnsi"/>
          <w:b w:val="0"/>
          <w:bCs w:val="0"/>
          <w:color w:val="auto"/>
          <w:sz w:val="24"/>
          <w:szCs w:val="24"/>
        </w:rPr>
        <w:t>t</w:t>
      </w:r>
      <w:r w:rsidR="001C4A19" w:rsidRPr="005D67BC">
        <w:rPr>
          <w:rFonts w:asciiTheme="minorHAnsi" w:hAnsiTheme="minorHAnsi"/>
          <w:b w:val="0"/>
          <w:bCs w:val="0"/>
          <w:color w:val="auto"/>
          <w:sz w:val="24"/>
          <w:szCs w:val="24"/>
        </w:rPr>
        <w:t xml:space="preserve">argets that are equivalent to the second year appropriation of the most recent Appropriation Act.  Agencies use the </w:t>
      </w:r>
      <w:r w:rsidR="00AC61C9">
        <w:rPr>
          <w:rFonts w:asciiTheme="minorHAnsi" w:hAnsiTheme="minorHAnsi"/>
          <w:b w:val="0"/>
          <w:bCs w:val="0"/>
          <w:color w:val="auto"/>
          <w:sz w:val="24"/>
          <w:szCs w:val="24"/>
        </w:rPr>
        <w:t>b</w:t>
      </w:r>
      <w:r w:rsidR="001C4A19" w:rsidRPr="005D67BC">
        <w:rPr>
          <w:rFonts w:asciiTheme="minorHAnsi" w:hAnsiTheme="minorHAnsi"/>
          <w:b w:val="0"/>
          <w:bCs w:val="0"/>
          <w:color w:val="auto"/>
          <w:sz w:val="24"/>
          <w:szCs w:val="24"/>
        </w:rPr>
        <w:t xml:space="preserve">ase </w:t>
      </w:r>
      <w:r w:rsidR="00AC61C9">
        <w:rPr>
          <w:rFonts w:asciiTheme="minorHAnsi" w:hAnsiTheme="minorHAnsi"/>
          <w:b w:val="0"/>
          <w:bCs w:val="0"/>
          <w:color w:val="auto"/>
          <w:sz w:val="24"/>
          <w:szCs w:val="24"/>
        </w:rPr>
        <w:t>b</w:t>
      </w:r>
      <w:r w:rsidR="001C4A19" w:rsidRPr="005D67BC">
        <w:rPr>
          <w:rFonts w:asciiTheme="minorHAnsi" w:hAnsiTheme="minorHAnsi"/>
          <w:b w:val="0"/>
          <w:bCs w:val="0"/>
          <w:color w:val="auto"/>
          <w:sz w:val="24"/>
          <w:szCs w:val="24"/>
        </w:rPr>
        <w:t xml:space="preserve">udget module to spread these targeted amounts to fund and subobject details.  </w:t>
      </w:r>
    </w:p>
    <w:p w:rsidR="00B62D55" w:rsidRDefault="00AC61C9" w:rsidP="006F23AE">
      <w:pPr>
        <w:pStyle w:val="HelpTopic"/>
        <w:rPr>
          <w:rFonts w:asciiTheme="minorHAnsi" w:hAnsiTheme="minorHAnsi"/>
          <w:b w:val="0"/>
          <w:bCs w:val="0"/>
          <w:color w:val="auto"/>
          <w:sz w:val="24"/>
          <w:szCs w:val="24"/>
        </w:rPr>
      </w:pPr>
      <w:r>
        <w:rPr>
          <w:rFonts w:asciiTheme="minorHAnsi" w:hAnsiTheme="minorHAnsi"/>
          <w:b w:val="0"/>
          <w:bCs w:val="0"/>
          <w:color w:val="auto"/>
          <w:sz w:val="24"/>
          <w:szCs w:val="24"/>
        </w:rPr>
        <w:t>To access the b</w:t>
      </w:r>
      <w:r w:rsidR="00B62D55" w:rsidRPr="005D67BC">
        <w:rPr>
          <w:rFonts w:asciiTheme="minorHAnsi" w:hAnsiTheme="minorHAnsi"/>
          <w:b w:val="0"/>
          <w:bCs w:val="0"/>
          <w:color w:val="auto"/>
          <w:sz w:val="24"/>
          <w:szCs w:val="24"/>
        </w:rPr>
        <w:t xml:space="preserve">ase </w:t>
      </w:r>
      <w:r>
        <w:rPr>
          <w:rFonts w:asciiTheme="minorHAnsi" w:hAnsiTheme="minorHAnsi"/>
          <w:b w:val="0"/>
          <w:bCs w:val="0"/>
          <w:color w:val="auto"/>
          <w:sz w:val="24"/>
          <w:szCs w:val="24"/>
        </w:rPr>
        <w:t>b</w:t>
      </w:r>
      <w:r w:rsidR="00B62D55" w:rsidRPr="005D67BC">
        <w:rPr>
          <w:rFonts w:asciiTheme="minorHAnsi" w:hAnsiTheme="minorHAnsi"/>
          <w:b w:val="0"/>
          <w:bCs w:val="0"/>
          <w:color w:val="auto"/>
          <w:sz w:val="24"/>
          <w:szCs w:val="24"/>
        </w:rPr>
        <w:t xml:space="preserve">udget module, select “Base Budget” under the “Operating Budget” menu.  This will create a new </w:t>
      </w:r>
      <w:r>
        <w:rPr>
          <w:rFonts w:asciiTheme="minorHAnsi" w:hAnsiTheme="minorHAnsi"/>
          <w:b w:val="0"/>
          <w:bCs w:val="0"/>
          <w:color w:val="auto"/>
          <w:sz w:val="24"/>
          <w:szCs w:val="24"/>
        </w:rPr>
        <w:t>b</w:t>
      </w:r>
      <w:r w:rsidR="00B62D55" w:rsidRPr="005D67BC">
        <w:rPr>
          <w:rFonts w:asciiTheme="minorHAnsi" w:hAnsiTheme="minorHAnsi"/>
          <w:b w:val="0"/>
          <w:bCs w:val="0"/>
          <w:color w:val="auto"/>
          <w:sz w:val="24"/>
          <w:szCs w:val="24"/>
        </w:rPr>
        <w:t xml:space="preserve">ase </w:t>
      </w:r>
      <w:r>
        <w:rPr>
          <w:rFonts w:asciiTheme="minorHAnsi" w:hAnsiTheme="minorHAnsi"/>
          <w:b w:val="0"/>
          <w:bCs w:val="0"/>
          <w:color w:val="auto"/>
          <w:sz w:val="24"/>
          <w:szCs w:val="24"/>
        </w:rPr>
        <w:t>b</w:t>
      </w:r>
      <w:r w:rsidR="00B62D55" w:rsidRPr="005D67BC">
        <w:rPr>
          <w:rFonts w:asciiTheme="minorHAnsi" w:hAnsiTheme="minorHAnsi"/>
          <w:b w:val="0"/>
          <w:bCs w:val="0"/>
          <w:color w:val="auto"/>
          <w:sz w:val="24"/>
          <w:szCs w:val="24"/>
        </w:rPr>
        <w:t>udget work item.  At any time you may submit or save the work item as indicated in the instructions below.  The work item will then be available in the work tray for you and others with the same permissions in the Performance Budgeting System.</w:t>
      </w:r>
    </w:p>
    <w:p w:rsidR="000976A8" w:rsidRPr="005D67BC" w:rsidRDefault="000976A8" w:rsidP="006F23AE">
      <w:pPr>
        <w:pStyle w:val="HelpTopic"/>
        <w:rPr>
          <w:rFonts w:asciiTheme="minorHAnsi" w:hAnsiTheme="minorHAnsi"/>
          <w:b w:val="0"/>
          <w:bCs w:val="0"/>
          <w:color w:val="auto"/>
          <w:sz w:val="24"/>
          <w:szCs w:val="24"/>
        </w:rPr>
      </w:pPr>
      <w:r>
        <w:rPr>
          <w:rFonts w:asciiTheme="minorHAnsi" w:hAnsiTheme="minorHAnsi"/>
          <w:b w:val="0"/>
          <w:bCs w:val="0"/>
          <w:color w:val="auto"/>
          <w:sz w:val="24"/>
          <w:szCs w:val="24"/>
        </w:rPr>
        <w:t xml:space="preserve">If you have any questions of a policy nature, please contact your DPB </w:t>
      </w:r>
      <w:r w:rsidR="002269A5">
        <w:rPr>
          <w:rFonts w:asciiTheme="minorHAnsi" w:hAnsiTheme="minorHAnsi"/>
          <w:b w:val="0"/>
          <w:bCs w:val="0"/>
          <w:color w:val="auto"/>
          <w:sz w:val="24"/>
          <w:szCs w:val="24"/>
        </w:rPr>
        <w:t>budget analyst</w:t>
      </w:r>
      <w:r>
        <w:rPr>
          <w:rFonts w:asciiTheme="minorHAnsi" w:hAnsiTheme="minorHAnsi"/>
          <w:b w:val="0"/>
          <w:bCs w:val="0"/>
          <w:color w:val="auto"/>
          <w:sz w:val="24"/>
          <w:szCs w:val="24"/>
        </w:rPr>
        <w:t xml:space="preserve">.  If you experience technical issues with the Performance Budgeting System, please contact the </w:t>
      </w:r>
      <w:r w:rsidR="00B45752">
        <w:rPr>
          <w:rFonts w:asciiTheme="minorHAnsi" w:hAnsiTheme="minorHAnsi"/>
          <w:b w:val="0"/>
          <w:bCs w:val="0"/>
          <w:color w:val="auto"/>
          <w:sz w:val="24"/>
          <w:szCs w:val="24"/>
        </w:rPr>
        <w:t xml:space="preserve">VCCC help desk at </w:t>
      </w:r>
      <w:hyperlink r:id="rId13" w:history="1">
        <w:r w:rsidR="00B45752">
          <w:rPr>
            <w:rStyle w:val="Hyperlink"/>
            <w:rFonts w:asciiTheme="minorHAnsi" w:hAnsiTheme="minorHAnsi"/>
            <w:b w:val="0"/>
            <w:bCs w:val="0"/>
            <w:sz w:val="24"/>
            <w:szCs w:val="24"/>
          </w:rPr>
          <w:t>vccc@vita.virginia.gov</w:t>
        </w:r>
      </w:hyperlink>
      <w:r w:rsidR="00B45752">
        <w:rPr>
          <w:rFonts w:asciiTheme="minorHAnsi" w:hAnsiTheme="minorHAnsi"/>
          <w:b w:val="0"/>
          <w:bCs w:val="0"/>
          <w:color w:val="auto"/>
          <w:sz w:val="24"/>
          <w:szCs w:val="24"/>
        </w:rPr>
        <w:t xml:space="preserve"> (make sure to indicate in the subject line that you are experiencing a Performance Budgeting System issue so the ticket can be routed to the Performance Budgeting System help desk).</w:t>
      </w:r>
    </w:p>
    <w:p w:rsidR="005E4200" w:rsidRPr="004A640F" w:rsidRDefault="00081E64" w:rsidP="00ED1D07">
      <w:pPr>
        <w:pStyle w:val="SubHeading"/>
        <w:rPr>
          <w:rStyle w:val="Heading1Char"/>
          <w:sz w:val="16"/>
          <w:szCs w:val="16"/>
        </w:rPr>
      </w:pPr>
      <w:bookmarkStart w:id="19" w:name="_Toc355338444"/>
      <w:r>
        <w:t xml:space="preserve">Base Budget Module </w:t>
      </w:r>
      <w:r w:rsidR="006F23AE" w:rsidRPr="00F65AE5">
        <w:t>Quick Guide</w:t>
      </w:r>
      <w:r w:rsidR="006F23AE">
        <w:t>s</w:t>
      </w:r>
      <w:r w:rsidR="006F23AE" w:rsidRPr="006F23AE">
        <w:t xml:space="preserve"> </w:t>
      </w:r>
      <w:r w:rsidR="00273233" w:rsidRPr="00273233">
        <w:rPr>
          <w:rStyle w:val="Heading1Char"/>
          <w:sz w:val="16"/>
          <w:szCs w:val="16"/>
        </w:rPr>
        <w:pict>
          <v:rect id="_x0000_i1035" style="width:468pt;height:1.5pt" o:hralign="center" o:hrstd="t" o:hr="t" fillcolor="#a0a0a0" stroked="f"/>
        </w:pict>
      </w:r>
      <w:bookmarkEnd w:id="19"/>
    </w:p>
    <w:p w:rsidR="005E4200" w:rsidRPr="005D67BC" w:rsidRDefault="006F23AE" w:rsidP="0084013A">
      <w:pPr>
        <w:spacing w:after="60" w:line="240" w:lineRule="auto"/>
        <w:outlineLvl w:val="2"/>
        <w:rPr>
          <w:rFonts w:eastAsia="Times New Roman" w:cs="Times New Roman"/>
          <w:b/>
          <w:bCs/>
          <w:sz w:val="24"/>
          <w:szCs w:val="24"/>
        </w:rPr>
      </w:pPr>
      <w:r w:rsidRPr="005D67BC">
        <w:rPr>
          <w:rFonts w:eastAsia="Times New Roman" w:cs="Times New Roman"/>
          <w:b/>
          <w:bCs/>
          <w:sz w:val="24"/>
          <w:szCs w:val="24"/>
        </w:rPr>
        <w:t>AGENCY ANALYST QUICK GUIDE</w:t>
      </w:r>
    </w:p>
    <w:p w:rsidR="005E4200" w:rsidRPr="005D67BC" w:rsidRDefault="005E4200" w:rsidP="0084013A">
      <w:pPr>
        <w:numPr>
          <w:ilvl w:val="0"/>
          <w:numId w:val="1"/>
        </w:numPr>
        <w:spacing w:after="0" w:line="240" w:lineRule="auto"/>
        <w:rPr>
          <w:rFonts w:eastAsia="Times New Roman" w:cs="Times New Roman"/>
          <w:sz w:val="24"/>
          <w:szCs w:val="24"/>
        </w:rPr>
      </w:pPr>
      <w:r w:rsidRPr="005D67BC">
        <w:rPr>
          <w:rFonts w:eastAsia="Times New Roman" w:cs="Times New Roman"/>
          <w:sz w:val="24"/>
          <w:szCs w:val="24"/>
        </w:rPr>
        <w:t xml:space="preserve">Mouse over the </w:t>
      </w:r>
      <w:r w:rsidRPr="005D67BC">
        <w:rPr>
          <w:rFonts w:eastAsia="Times New Roman" w:cs="Times New Roman"/>
          <w:b/>
          <w:bCs/>
          <w:sz w:val="24"/>
          <w:szCs w:val="24"/>
        </w:rPr>
        <w:t>Operating Budget Functional Area</w:t>
      </w:r>
      <w:r w:rsidRPr="005D67BC">
        <w:rPr>
          <w:rFonts w:eastAsia="Times New Roman" w:cs="Times New Roman"/>
          <w:sz w:val="24"/>
          <w:szCs w:val="24"/>
        </w:rPr>
        <w:t xml:space="preserve"> menu item and select </w:t>
      </w:r>
      <w:r w:rsidRPr="005D67BC">
        <w:rPr>
          <w:rFonts w:eastAsia="Times New Roman" w:cs="Times New Roman"/>
          <w:b/>
          <w:bCs/>
          <w:sz w:val="24"/>
          <w:szCs w:val="24"/>
        </w:rPr>
        <w:t>Base Budget</w:t>
      </w:r>
      <w:r w:rsidRPr="005D67BC">
        <w:rPr>
          <w:rFonts w:eastAsia="Times New Roman" w:cs="Times New Roman"/>
          <w:sz w:val="24"/>
          <w:szCs w:val="24"/>
        </w:rPr>
        <w:t xml:space="preserve"> from the resulting dropdown menu. Once</w:t>
      </w:r>
      <w:r w:rsidRPr="005D67BC">
        <w:rPr>
          <w:rFonts w:eastAsia="Times New Roman" w:cs="Times New Roman"/>
          <w:b/>
          <w:bCs/>
          <w:sz w:val="24"/>
          <w:szCs w:val="24"/>
        </w:rPr>
        <w:t xml:space="preserve"> Base Budget</w:t>
      </w:r>
      <w:r w:rsidRPr="005D67BC">
        <w:rPr>
          <w:rFonts w:eastAsia="Times New Roman" w:cs="Times New Roman"/>
          <w:sz w:val="24"/>
          <w:szCs w:val="24"/>
        </w:rPr>
        <w:t xml:space="preserve"> is selected, the </w:t>
      </w:r>
      <w:r w:rsidRPr="005D67BC">
        <w:rPr>
          <w:rFonts w:eastAsia="Times New Roman" w:cs="Times New Roman"/>
          <w:b/>
          <w:bCs/>
          <w:sz w:val="24"/>
          <w:szCs w:val="24"/>
        </w:rPr>
        <w:t>Overview</w:t>
      </w:r>
      <w:r w:rsidRPr="005D67BC">
        <w:rPr>
          <w:rFonts w:eastAsia="Times New Roman" w:cs="Times New Roman"/>
          <w:sz w:val="24"/>
          <w:szCs w:val="24"/>
        </w:rPr>
        <w:t xml:space="preserve"> tab will appear. </w:t>
      </w:r>
    </w:p>
    <w:p w:rsidR="005E4200" w:rsidRPr="005D67BC" w:rsidRDefault="005E4200" w:rsidP="00DC668B">
      <w:pPr>
        <w:numPr>
          <w:ilvl w:val="0"/>
          <w:numId w:val="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Complete the </w:t>
      </w:r>
      <w:r w:rsidRPr="005D67BC">
        <w:rPr>
          <w:rFonts w:eastAsia="Times New Roman" w:cs="Times New Roman"/>
          <w:b/>
          <w:bCs/>
          <w:sz w:val="24"/>
          <w:szCs w:val="24"/>
        </w:rPr>
        <w:t>Overview</w:t>
      </w:r>
      <w:r w:rsidRPr="005D67BC">
        <w:rPr>
          <w:rFonts w:eastAsia="Times New Roman" w:cs="Times New Roman"/>
          <w:sz w:val="24"/>
          <w:szCs w:val="24"/>
        </w:rPr>
        <w:t xml:space="preserve"> tab as described in the Overview tab instructions. </w:t>
      </w:r>
    </w:p>
    <w:p w:rsidR="005E4200" w:rsidRPr="005D67BC" w:rsidRDefault="005E4200" w:rsidP="00DC668B">
      <w:pPr>
        <w:numPr>
          <w:ilvl w:val="0"/>
          <w:numId w:val="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Complete the </w:t>
      </w:r>
      <w:r w:rsidRPr="005D67BC">
        <w:rPr>
          <w:rFonts w:eastAsia="Times New Roman" w:cs="Times New Roman"/>
          <w:b/>
          <w:bCs/>
          <w:sz w:val="24"/>
          <w:szCs w:val="24"/>
        </w:rPr>
        <w:t>Position Planning</w:t>
      </w:r>
      <w:r w:rsidRPr="005D67BC">
        <w:rPr>
          <w:rFonts w:eastAsia="Times New Roman" w:cs="Times New Roman"/>
          <w:sz w:val="24"/>
          <w:szCs w:val="24"/>
        </w:rPr>
        <w:t xml:space="preserve"> tab as described in the Position Planning tab instructions. </w:t>
      </w:r>
    </w:p>
    <w:p w:rsidR="005E4200" w:rsidRPr="005D67BC" w:rsidRDefault="005E4200" w:rsidP="00DC668B">
      <w:pPr>
        <w:numPr>
          <w:ilvl w:val="0"/>
          <w:numId w:val="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Complete the</w:t>
      </w:r>
      <w:r w:rsidRPr="005D67BC">
        <w:rPr>
          <w:rFonts w:eastAsia="Times New Roman" w:cs="Times New Roman"/>
          <w:b/>
          <w:bCs/>
          <w:sz w:val="24"/>
          <w:szCs w:val="24"/>
        </w:rPr>
        <w:t xml:space="preserve"> Base Budget</w:t>
      </w:r>
      <w:r w:rsidRPr="005D67BC">
        <w:rPr>
          <w:rFonts w:eastAsia="Times New Roman" w:cs="Times New Roman"/>
          <w:sz w:val="24"/>
          <w:szCs w:val="24"/>
        </w:rPr>
        <w:t xml:space="preserve"> tab as described in the Base Budget tab instructions. </w:t>
      </w:r>
    </w:p>
    <w:p w:rsidR="005E4200" w:rsidRPr="005D67BC" w:rsidRDefault="005E4200" w:rsidP="00DC668B">
      <w:pPr>
        <w:numPr>
          <w:ilvl w:val="0"/>
          <w:numId w:val="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Complete the </w:t>
      </w:r>
      <w:r w:rsidRPr="005D67BC">
        <w:rPr>
          <w:rFonts w:eastAsia="Times New Roman" w:cs="Times New Roman"/>
          <w:b/>
          <w:bCs/>
          <w:sz w:val="24"/>
          <w:szCs w:val="24"/>
        </w:rPr>
        <w:t xml:space="preserve">Allocation </w:t>
      </w:r>
      <w:proofErr w:type="gramStart"/>
      <w:r w:rsidRPr="005D67BC">
        <w:rPr>
          <w:rFonts w:eastAsia="Times New Roman" w:cs="Times New Roman"/>
          <w:b/>
          <w:bCs/>
          <w:sz w:val="24"/>
          <w:szCs w:val="24"/>
        </w:rPr>
        <w:t>Across</w:t>
      </w:r>
      <w:proofErr w:type="gramEnd"/>
      <w:r w:rsidRPr="005D67BC">
        <w:rPr>
          <w:rFonts w:eastAsia="Times New Roman" w:cs="Times New Roman"/>
          <w:b/>
          <w:bCs/>
          <w:sz w:val="24"/>
          <w:szCs w:val="24"/>
        </w:rPr>
        <w:t xml:space="preserve"> Components</w:t>
      </w:r>
      <w:r w:rsidRPr="005D67BC">
        <w:rPr>
          <w:rFonts w:eastAsia="Times New Roman" w:cs="Times New Roman"/>
          <w:sz w:val="24"/>
          <w:szCs w:val="24"/>
        </w:rPr>
        <w:t xml:space="preserve"> tab as described in the Allocation Across Component instructions. </w:t>
      </w:r>
    </w:p>
    <w:p w:rsidR="005E4200" w:rsidRPr="005D67BC" w:rsidRDefault="005E4200" w:rsidP="00DC668B">
      <w:pPr>
        <w:numPr>
          <w:ilvl w:val="0"/>
          <w:numId w:val="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Complete the </w:t>
      </w:r>
      <w:r w:rsidRPr="005D67BC">
        <w:rPr>
          <w:rFonts w:eastAsia="Times New Roman" w:cs="Times New Roman"/>
          <w:b/>
          <w:bCs/>
          <w:sz w:val="24"/>
          <w:szCs w:val="24"/>
        </w:rPr>
        <w:t>Strategic Link</w:t>
      </w:r>
      <w:r w:rsidRPr="005D67BC">
        <w:rPr>
          <w:rFonts w:eastAsia="Times New Roman" w:cs="Times New Roman"/>
          <w:sz w:val="24"/>
          <w:szCs w:val="24"/>
        </w:rPr>
        <w:t xml:space="preserve"> tab as described in the Strategic Link instructions.</w:t>
      </w:r>
    </w:p>
    <w:p w:rsidR="005E4200" w:rsidRPr="005D67BC" w:rsidRDefault="005E4200" w:rsidP="00DC668B">
      <w:pPr>
        <w:numPr>
          <w:ilvl w:val="0"/>
          <w:numId w:val="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Review the Base Budget before submitting to the Agency Reviewer. Make sure to load the correct scenario before submitting the base budget to the Agency Reviewer. </w:t>
      </w:r>
    </w:p>
    <w:p w:rsidR="005E4200" w:rsidRPr="005D67BC" w:rsidRDefault="005E4200" w:rsidP="0084013A">
      <w:pPr>
        <w:numPr>
          <w:ilvl w:val="0"/>
          <w:numId w:val="1"/>
        </w:numPr>
        <w:spacing w:before="100" w:beforeAutospacing="1" w:after="0" w:line="240" w:lineRule="auto"/>
        <w:rPr>
          <w:rFonts w:eastAsia="Times New Roman" w:cs="Times New Roman"/>
          <w:sz w:val="24"/>
          <w:szCs w:val="24"/>
        </w:rPr>
      </w:pPr>
      <w:r w:rsidRPr="005D67BC">
        <w:rPr>
          <w:rFonts w:eastAsia="Times New Roman" w:cs="Times New Roman"/>
          <w:sz w:val="24"/>
          <w:szCs w:val="24"/>
        </w:rPr>
        <w:t xml:space="preserve">Click </w:t>
      </w:r>
      <w:r w:rsidRPr="005D67BC">
        <w:rPr>
          <w:rFonts w:eastAsia="Times New Roman" w:cs="Times New Roman"/>
          <w:b/>
          <w:bCs/>
          <w:sz w:val="24"/>
          <w:szCs w:val="24"/>
        </w:rPr>
        <w:t>Submit</w:t>
      </w:r>
      <w:r w:rsidRPr="005D67BC">
        <w:rPr>
          <w:rFonts w:eastAsia="Times New Roman" w:cs="Times New Roman"/>
          <w:sz w:val="24"/>
          <w:szCs w:val="24"/>
        </w:rPr>
        <w:t xml:space="preserve"> and select the appropriate action from the available options.</w:t>
      </w:r>
    </w:p>
    <w:p w:rsidR="005E4200" w:rsidRPr="005D67BC" w:rsidRDefault="005E4200" w:rsidP="0084013A">
      <w:pPr>
        <w:numPr>
          <w:ilvl w:val="0"/>
          <w:numId w:val="2"/>
        </w:numPr>
        <w:spacing w:after="100" w:afterAutospacing="1" w:line="240" w:lineRule="auto"/>
        <w:rPr>
          <w:rFonts w:eastAsia="Times New Roman" w:cs="Times New Roman"/>
          <w:sz w:val="24"/>
          <w:szCs w:val="24"/>
        </w:rPr>
      </w:pPr>
      <w:proofErr w:type="gramStart"/>
      <w:r w:rsidRPr="005D67BC">
        <w:rPr>
          <w:rFonts w:eastAsia="Times New Roman" w:cs="Times New Roman"/>
          <w:sz w:val="24"/>
          <w:szCs w:val="24"/>
        </w:rPr>
        <w:t>Continue</w:t>
      </w:r>
      <w:proofErr w:type="gramEnd"/>
      <w:r w:rsidRPr="005D67BC">
        <w:rPr>
          <w:rFonts w:eastAsia="Times New Roman" w:cs="Times New Roman"/>
          <w:sz w:val="24"/>
          <w:szCs w:val="24"/>
        </w:rPr>
        <w:t xml:space="preserve"> Working - Saves the base budget and returns it to the Available Work Items tab on the Work Tray for users with similar credentials to claim. </w:t>
      </w:r>
    </w:p>
    <w:p w:rsidR="005E4200" w:rsidRPr="005D67BC" w:rsidRDefault="005E4200" w:rsidP="00DC668B">
      <w:pPr>
        <w:numPr>
          <w:ilvl w:val="0"/>
          <w:numId w:val="2"/>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Submit for Agency Review - Submits the base budget to the next step in the workflow. </w:t>
      </w:r>
    </w:p>
    <w:p w:rsidR="005E4200" w:rsidRPr="001311EA" w:rsidRDefault="005E4200" w:rsidP="00DC668B">
      <w:pPr>
        <w:numPr>
          <w:ilvl w:val="0"/>
          <w:numId w:val="2"/>
        </w:numPr>
        <w:spacing w:before="100" w:beforeAutospacing="1" w:after="100" w:afterAutospacing="1" w:line="240" w:lineRule="auto"/>
        <w:rPr>
          <w:rFonts w:asciiTheme="majorHAnsi" w:eastAsia="Times New Roman" w:hAnsiTheme="majorHAnsi" w:cs="Times New Roman"/>
          <w:sz w:val="24"/>
          <w:szCs w:val="24"/>
        </w:rPr>
      </w:pPr>
      <w:r w:rsidRPr="005D67BC">
        <w:rPr>
          <w:rFonts w:eastAsia="Times New Roman" w:cs="Times New Roman"/>
          <w:sz w:val="24"/>
          <w:szCs w:val="24"/>
        </w:rPr>
        <w:t>Void Document - Voids the base budget.</w:t>
      </w:r>
    </w:p>
    <w:p w:rsidR="005E4200" w:rsidRPr="006F23AE" w:rsidRDefault="00273233" w:rsidP="005E4200">
      <w:pPr>
        <w:spacing w:after="0" w:line="240" w:lineRule="auto"/>
        <w:rPr>
          <w:rFonts w:asciiTheme="majorHAnsi" w:eastAsia="Times New Roman" w:hAnsiTheme="majorHAnsi" w:cs="Times New Roman"/>
          <w:sz w:val="24"/>
          <w:szCs w:val="24"/>
        </w:rPr>
      </w:pPr>
      <w:r w:rsidRPr="00273233">
        <w:rPr>
          <w:rFonts w:asciiTheme="majorHAnsi" w:eastAsia="Times New Roman" w:hAnsiTheme="majorHAnsi" w:cs="Times New Roman"/>
          <w:sz w:val="24"/>
          <w:szCs w:val="24"/>
        </w:rPr>
        <w:pict>
          <v:rect id="_x0000_i1036" style="width:468pt;height:1.5pt" o:hralign="center" o:hrstd="t" o:hr="t" fillcolor="#a0a0a0" stroked="f"/>
        </w:pict>
      </w:r>
    </w:p>
    <w:p w:rsidR="001F18A7" w:rsidRDefault="001F18A7">
      <w:pPr>
        <w:rPr>
          <w:rFonts w:eastAsia="Times New Roman" w:cs="Times New Roman"/>
          <w:b/>
          <w:bCs/>
          <w:sz w:val="24"/>
          <w:szCs w:val="24"/>
        </w:rPr>
      </w:pPr>
      <w:r>
        <w:rPr>
          <w:rFonts w:eastAsia="Times New Roman" w:cs="Times New Roman"/>
          <w:b/>
          <w:bCs/>
          <w:sz w:val="24"/>
          <w:szCs w:val="24"/>
        </w:rPr>
        <w:br w:type="page"/>
      </w:r>
    </w:p>
    <w:p w:rsidR="005E4200" w:rsidRPr="005D67BC" w:rsidRDefault="006F23AE" w:rsidP="005E4200">
      <w:pPr>
        <w:spacing w:before="100" w:beforeAutospacing="1" w:after="100" w:afterAutospacing="1" w:line="240" w:lineRule="auto"/>
        <w:outlineLvl w:val="2"/>
        <w:rPr>
          <w:rFonts w:eastAsia="Times New Roman" w:cs="Times New Roman"/>
          <w:b/>
          <w:bCs/>
          <w:sz w:val="24"/>
          <w:szCs w:val="24"/>
        </w:rPr>
      </w:pPr>
      <w:r w:rsidRPr="005D67BC">
        <w:rPr>
          <w:rFonts w:eastAsia="Times New Roman" w:cs="Times New Roman"/>
          <w:b/>
          <w:bCs/>
          <w:sz w:val="24"/>
          <w:szCs w:val="24"/>
        </w:rPr>
        <w:lastRenderedPageBreak/>
        <w:t>AGENCY REVIEWER QUICK GUIDE</w:t>
      </w:r>
    </w:p>
    <w:p w:rsidR="005E4200" w:rsidRPr="005D67BC" w:rsidRDefault="005E4200" w:rsidP="00DC668B">
      <w:pPr>
        <w:numPr>
          <w:ilvl w:val="0"/>
          <w:numId w:val="3"/>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w:t>
      </w:r>
      <w:r w:rsidRPr="005D67BC">
        <w:rPr>
          <w:rFonts w:eastAsia="Times New Roman" w:cs="Times New Roman"/>
          <w:b/>
          <w:bCs/>
          <w:sz w:val="24"/>
          <w:szCs w:val="24"/>
        </w:rPr>
        <w:t>Available Work Items</w:t>
      </w:r>
      <w:r w:rsidRPr="005D67BC">
        <w:rPr>
          <w:rFonts w:eastAsia="Times New Roman" w:cs="Times New Roman"/>
          <w:sz w:val="24"/>
          <w:szCs w:val="24"/>
        </w:rPr>
        <w:t xml:space="preserve"> from the </w:t>
      </w:r>
      <w:r w:rsidRPr="005D67BC">
        <w:rPr>
          <w:rFonts w:eastAsia="Times New Roman" w:cs="Times New Roman"/>
          <w:b/>
          <w:bCs/>
          <w:sz w:val="24"/>
          <w:szCs w:val="24"/>
        </w:rPr>
        <w:t>Work Tray</w:t>
      </w:r>
      <w:r w:rsidRPr="005D67BC">
        <w:rPr>
          <w:rFonts w:eastAsia="Times New Roman" w:cs="Times New Roman"/>
          <w:sz w:val="24"/>
          <w:szCs w:val="24"/>
        </w:rPr>
        <w:t xml:space="preserve">. </w:t>
      </w:r>
    </w:p>
    <w:p w:rsidR="005E4200" w:rsidRPr="005D67BC" w:rsidRDefault="005E4200" w:rsidP="00DC668B">
      <w:pPr>
        <w:numPr>
          <w:ilvl w:val="0"/>
          <w:numId w:val="3"/>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the </w:t>
      </w:r>
      <w:r w:rsidRPr="005D67BC">
        <w:rPr>
          <w:rFonts w:eastAsia="Times New Roman" w:cs="Times New Roman"/>
          <w:b/>
          <w:bCs/>
          <w:sz w:val="24"/>
          <w:szCs w:val="24"/>
        </w:rPr>
        <w:t>Document Type</w:t>
      </w:r>
      <w:r w:rsidRPr="005D67BC">
        <w:rPr>
          <w:rFonts w:eastAsia="Times New Roman" w:cs="Times New Roman"/>
          <w:sz w:val="24"/>
          <w:szCs w:val="24"/>
        </w:rPr>
        <w:t xml:space="preserve"> filter and select Base Budget to filter on the base budget work items. </w:t>
      </w:r>
    </w:p>
    <w:p w:rsidR="005E4200" w:rsidRPr="005D67BC" w:rsidRDefault="005E4200" w:rsidP="00DC668B">
      <w:pPr>
        <w:numPr>
          <w:ilvl w:val="0"/>
          <w:numId w:val="3"/>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the </w:t>
      </w:r>
      <w:r w:rsidRPr="005D67BC">
        <w:rPr>
          <w:rFonts w:eastAsia="Times New Roman" w:cs="Times New Roman"/>
          <w:b/>
          <w:bCs/>
          <w:sz w:val="24"/>
          <w:szCs w:val="24"/>
        </w:rPr>
        <w:t>Claim</w:t>
      </w:r>
      <w:r w:rsidRPr="005D67BC">
        <w:rPr>
          <w:rFonts w:eastAsia="Times New Roman" w:cs="Times New Roman"/>
          <w:sz w:val="24"/>
          <w:szCs w:val="24"/>
        </w:rPr>
        <w:t xml:space="preserve"> button next to the base budget that is ready for review. Once the base budget is claimed, the </w:t>
      </w:r>
      <w:r w:rsidRPr="005D67BC">
        <w:rPr>
          <w:rFonts w:eastAsia="Times New Roman" w:cs="Times New Roman"/>
          <w:b/>
          <w:bCs/>
          <w:sz w:val="24"/>
          <w:szCs w:val="24"/>
        </w:rPr>
        <w:t>Overview</w:t>
      </w:r>
      <w:r w:rsidRPr="005D67BC">
        <w:rPr>
          <w:rFonts w:eastAsia="Times New Roman" w:cs="Times New Roman"/>
          <w:sz w:val="24"/>
          <w:szCs w:val="24"/>
        </w:rPr>
        <w:t xml:space="preserve"> tab will appear. </w:t>
      </w:r>
    </w:p>
    <w:p w:rsidR="005E4200" w:rsidRPr="005D67BC" w:rsidRDefault="005E4200" w:rsidP="00DC668B">
      <w:pPr>
        <w:numPr>
          <w:ilvl w:val="0"/>
          <w:numId w:val="3"/>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Review the </w:t>
      </w:r>
      <w:r w:rsidRPr="005D67BC">
        <w:rPr>
          <w:rFonts w:eastAsia="Times New Roman" w:cs="Times New Roman"/>
          <w:b/>
          <w:bCs/>
          <w:sz w:val="24"/>
          <w:szCs w:val="24"/>
        </w:rPr>
        <w:t>Overview</w:t>
      </w:r>
      <w:r w:rsidRPr="005D67BC">
        <w:rPr>
          <w:rFonts w:eastAsia="Times New Roman" w:cs="Times New Roman"/>
          <w:sz w:val="24"/>
          <w:szCs w:val="24"/>
        </w:rPr>
        <w:t xml:space="preserve"> tab for completeness and accuracy. Refer to the DPB transmittal for policy guidance. Make sure the correct scenario is loaded before reviewing and submitting the base budget to DPB. </w:t>
      </w:r>
    </w:p>
    <w:p w:rsidR="005E4200" w:rsidRPr="005D67BC" w:rsidRDefault="005E4200" w:rsidP="00DC668B">
      <w:pPr>
        <w:numPr>
          <w:ilvl w:val="0"/>
          <w:numId w:val="3"/>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Base Budget</w:t>
      </w:r>
      <w:r w:rsidRPr="005D67BC">
        <w:rPr>
          <w:rFonts w:eastAsia="Times New Roman" w:cs="Times New Roman"/>
          <w:sz w:val="24"/>
          <w:szCs w:val="24"/>
        </w:rPr>
        <w:t xml:space="preserve"> tab and review for completeness and accuracy. Refer to the DPB transmittal for policy guidance. </w:t>
      </w:r>
    </w:p>
    <w:p w:rsidR="005E4200" w:rsidRPr="005D67BC" w:rsidRDefault="005E4200" w:rsidP="00DC668B">
      <w:pPr>
        <w:numPr>
          <w:ilvl w:val="0"/>
          <w:numId w:val="3"/>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Click on the</w:t>
      </w:r>
      <w:r w:rsidRPr="005D67BC">
        <w:rPr>
          <w:rFonts w:eastAsia="Times New Roman" w:cs="Times New Roman"/>
          <w:b/>
          <w:bCs/>
          <w:sz w:val="24"/>
          <w:szCs w:val="24"/>
        </w:rPr>
        <w:t xml:space="preserve"> Position Planning</w:t>
      </w:r>
      <w:r w:rsidRPr="005D67BC">
        <w:rPr>
          <w:rFonts w:eastAsia="Times New Roman" w:cs="Times New Roman"/>
          <w:sz w:val="24"/>
          <w:szCs w:val="24"/>
        </w:rPr>
        <w:t xml:space="preserve"> tab and review for completeness and accuracy. Refer to the DPB transmittal for policy guidance. </w:t>
      </w:r>
    </w:p>
    <w:p w:rsidR="005E4200" w:rsidRPr="005D67BC" w:rsidRDefault="005E4200" w:rsidP="00DC668B">
      <w:pPr>
        <w:numPr>
          <w:ilvl w:val="0"/>
          <w:numId w:val="3"/>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 xml:space="preserve">Allocation </w:t>
      </w:r>
      <w:proofErr w:type="gramStart"/>
      <w:r w:rsidRPr="005D67BC">
        <w:rPr>
          <w:rFonts w:eastAsia="Times New Roman" w:cs="Times New Roman"/>
          <w:b/>
          <w:bCs/>
          <w:sz w:val="24"/>
          <w:szCs w:val="24"/>
        </w:rPr>
        <w:t>Across</w:t>
      </w:r>
      <w:proofErr w:type="gramEnd"/>
      <w:r w:rsidRPr="005D67BC">
        <w:rPr>
          <w:rFonts w:eastAsia="Times New Roman" w:cs="Times New Roman"/>
          <w:b/>
          <w:bCs/>
          <w:sz w:val="24"/>
          <w:szCs w:val="24"/>
        </w:rPr>
        <w:t xml:space="preserve"> Components</w:t>
      </w:r>
      <w:r w:rsidRPr="005D67BC">
        <w:rPr>
          <w:rFonts w:eastAsia="Times New Roman" w:cs="Times New Roman"/>
          <w:sz w:val="24"/>
          <w:szCs w:val="24"/>
        </w:rPr>
        <w:t xml:space="preserve"> tab and review for completeness and accuracy. </w:t>
      </w:r>
    </w:p>
    <w:p w:rsidR="005E4200" w:rsidRPr="005D67BC" w:rsidRDefault="005E4200" w:rsidP="00DC668B">
      <w:pPr>
        <w:numPr>
          <w:ilvl w:val="0"/>
          <w:numId w:val="3"/>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Strategic Link</w:t>
      </w:r>
      <w:r w:rsidRPr="005D67BC">
        <w:rPr>
          <w:rFonts w:eastAsia="Times New Roman" w:cs="Times New Roman"/>
          <w:sz w:val="24"/>
          <w:szCs w:val="24"/>
        </w:rPr>
        <w:t xml:space="preserve"> tab and review for completeness and accuracy. </w:t>
      </w:r>
    </w:p>
    <w:p w:rsidR="005E4200" w:rsidRPr="005D67BC" w:rsidRDefault="005E4200" w:rsidP="00440C4F">
      <w:pPr>
        <w:numPr>
          <w:ilvl w:val="0"/>
          <w:numId w:val="3"/>
        </w:numPr>
        <w:spacing w:before="100" w:beforeAutospacing="1" w:after="0" w:line="240" w:lineRule="auto"/>
        <w:rPr>
          <w:rFonts w:eastAsia="Times New Roman" w:cs="Times New Roman"/>
          <w:sz w:val="24"/>
          <w:szCs w:val="24"/>
        </w:rPr>
      </w:pPr>
      <w:r w:rsidRPr="005D67BC">
        <w:rPr>
          <w:rFonts w:eastAsia="Times New Roman" w:cs="Times New Roman"/>
          <w:sz w:val="24"/>
          <w:szCs w:val="24"/>
        </w:rPr>
        <w:t xml:space="preserve">Click </w:t>
      </w:r>
      <w:r w:rsidRPr="005D67BC">
        <w:rPr>
          <w:rFonts w:eastAsia="Times New Roman" w:cs="Times New Roman"/>
          <w:b/>
          <w:bCs/>
          <w:sz w:val="24"/>
          <w:szCs w:val="24"/>
        </w:rPr>
        <w:t>Submit</w:t>
      </w:r>
      <w:r w:rsidRPr="005D67BC">
        <w:rPr>
          <w:rFonts w:eastAsia="Times New Roman" w:cs="Times New Roman"/>
          <w:sz w:val="24"/>
          <w:szCs w:val="24"/>
        </w:rPr>
        <w:t xml:space="preserve"> and select the appropriate action from the available options.</w:t>
      </w:r>
    </w:p>
    <w:p w:rsidR="005E4200" w:rsidRPr="005D67BC" w:rsidRDefault="005E4200" w:rsidP="00440C4F">
      <w:pPr>
        <w:numPr>
          <w:ilvl w:val="0"/>
          <w:numId w:val="4"/>
        </w:numPr>
        <w:spacing w:after="0" w:line="240" w:lineRule="auto"/>
        <w:rPr>
          <w:rFonts w:eastAsia="Times New Roman" w:cs="Times New Roman"/>
          <w:sz w:val="24"/>
          <w:szCs w:val="24"/>
        </w:rPr>
      </w:pPr>
      <w:proofErr w:type="gramStart"/>
      <w:r w:rsidRPr="005D67BC">
        <w:rPr>
          <w:rFonts w:eastAsia="Times New Roman" w:cs="Times New Roman"/>
          <w:sz w:val="24"/>
          <w:szCs w:val="24"/>
        </w:rPr>
        <w:t>Continue</w:t>
      </w:r>
      <w:proofErr w:type="gramEnd"/>
      <w:r w:rsidRPr="005D67BC">
        <w:rPr>
          <w:rFonts w:eastAsia="Times New Roman" w:cs="Times New Roman"/>
          <w:sz w:val="24"/>
          <w:szCs w:val="24"/>
        </w:rPr>
        <w:t xml:space="preserve"> Review - Saves the base budget and returns it to the </w:t>
      </w:r>
      <w:r w:rsidRPr="005D67BC">
        <w:rPr>
          <w:rFonts w:eastAsia="Times New Roman" w:cs="Times New Roman"/>
          <w:b/>
          <w:bCs/>
          <w:sz w:val="24"/>
          <w:szCs w:val="24"/>
        </w:rPr>
        <w:t>Available Work Items</w:t>
      </w:r>
      <w:r w:rsidRPr="005D67BC">
        <w:rPr>
          <w:rFonts w:eastAsia="Times New Roman" w:cs="Times New Roman"/>
          <w:sz w:val="24"/>
          <w:szCs w:val="24"/>
        </w:rPr>
        <w:t xml:space="preserve"> tab on the </w:t>
      </w:r>
      <w:r w:rsidRPr="005D67BC">
        <w:rPr>
          <w:rFonts w:eastAsia="Times New Roman" w:cs="Times New Roman"/>
          <w:b/>
          <w:bCs/>
          <w:sz w:val="24"/>
          <w:szCs w:val="24"/>
        </w:rPr>
        <w:t>Work Tray</w:t>
      </w:r>
      <w:r w:rsidRPr="005D67BC">
        <w:rPr>
          <w:rFonts w:eastAsia="Times New Roman" w:cs="Times New Roman"/>
          <w:sz w:val="24"/>
          <w:szCs w:val="24"/>
        </w:rPr>
        <w:t xml:space="preserve"> for users with similar credentials to claim. </w:t>
      </w:r>
    </w:p>
    <w:p w:rsidR="005E4200" w:rsidRPr="005D67BC" w:rsidRDefault="005E4200" w:rsidP="00DC668B">
      <w:pPr>
        <w:numPr>
          <w:ilvl w:val="0"/>
          <w:numId w:val="4"/>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Submit for DPB Review - Submits the base budget to DPB. </w:t>
      </w:r>
    </w:p>
    <w:p w:rsidR="005E4200" w:rsidRPr="005D67BC" w:rsidRDefault="005E4200" w:rsidP="00DC668B">
      <w:pPr>
        <w:numPr>
          <w:ilvl w:val="0"/>
          <w:numId w:val="4"/>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Return for Further Data Entry - Returns the base budget to the data entry workflow step. </w:t>
      </w:r>
    </w:p>
    <w:p w:rsidR="005E4200" w:rsidRPr="005D67BC" w:rsidRDefault="005E4200" w:rsidP="00DC668B">
      <w:pPr>
        <w:numPr>
          <w:ilvl w:val="0"/>
          <w:numId w:val="4"/>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Void Document - Voids the base budget.</w:t>
      </w:r>
    </w:p>
    <w:p w:rsidR="001311EA" w:rsidRPr="00F65AE5" w:rsidRDefault="001311EA" w:rsidP="001311EA">
      <w:pPr>
        <w:pStyle w:val="HelpTopic"/>
      </w:pPr>
      <w:r w:rsidRPr="00F65AE5">
        <w:t>Overview Tab</w:t>
      </w:r>
    </w:p>
    <w:p w:rsidR="005E4200" w:rsidRPr="0084013A" w:rsidRDefault="00273233" w:rsidP="005E4200">
      <w:pPr>
        <w:spacing w:after="0" w:line="240" w:lineRule="auto"/>
        <w:rPr>
          <w:rFonts w:asciiTheme="majorHAnsi" w:eastAsia="Times New Roman" w:hAnsiTheme="majorHAnsi" w:cs="Times New Roman"/>
          <w:sz w:val="16"/>
          <w:szCs w:val="16"/>
        </w:rPr>
      </w:pPr>
      <w:r w:rsidRPr="00273233">
        <w:rPr>
          <w:rFonts w:asciiTheme="majorHAnsi" w:eastAsia="Times New Roman" w:hAnsiTheme="majorHAnsi" w:cs="Times New Roman"/>
          <w:sz w:val="16"/>
          <w:szCs w:val="16"/>
        </w:rPr>
        <w:pict>
          <v:rect id="_x0000_i1037" style="width:468pt;height:1.5pt" o:hralign="center" o:hrstd="t" o:hr="t" fillcolor="#a0a0a0" stroked="f"/>
        </w:pict>
      </w:r>
    </w:p>
    <w:p w:rsidR="001311EA" w:rsidRPr="00A37BC3" w:rsidRDefault="00440C4F" w:rsidP="00ED1D07">
      <w:pPr>
        <w:pStyle w:val="SubHeading"/>
      </w:pPr>
      <w:bookmarkStart w:id="20" w:name="_Toc355338445"/>
      <w:r>
        <w:t>Over</w:t>
      </w:r>
      <w:r w:rsidR="00AC4AD0">
        <w:t>view</w:t>
      </w:r>
      <w:r>
        <w:t xml:space="preserve"> Tab </w:t>
      </w:r>
      <w:r w:rsidR="001311EA" w:rsidRPr="00A37BC3">
        <w:t>Overview</w:t>
      </w:r>
      <w:bookmarkEnd w:id="20"/>
    </w:p>
    <w:p w:rsidR="005E4200" w:rsidRPr="005D67BC" w:rsidRDefault="005E4200" w:rsidP="00B753D5">
      <w:pPr>
        <w:spacing w:after="100" w:afterAutospacing="1" w:line="240" w:lineRule="auto"/>
        <w:rPr>
          <w:rFonts w:eastAsia="Times New Roman" w:cs="Times New Roman"/>
          <w:sz w:val="24"/>
          <w:szCs w:val="24"/>
        </w:rPr>
      </w:pPr>
      <w:r w:rsidRPr="005D67BC">
        <w:rPr>
          <w:rFonts w:eastAsia="Times New Roman" w:cs="Times New Roman"/>
          <w:sz w:val="24"/>
          <w:szCs w:val="24"/>
        </w:rPr>
        <w:t xml:space="preserve">The purpose of the </w:t>
      </w:r>
      <w:r w:rsidRPr="005D67BC">
        <w:rPr>
          <w:rFonts w:eastAsia="Times New Roman" w:cs="Times New Roman"/>
          <w:b/>
          <w:bCs/>
          <w:sz w:val="24"/>
          <w:szCs w:val="24"/>
        </w:rPr>
        <w:t xml:space="preserve">Overview </w:t>
      </w:r>
      <w:r w:rsidRPr="005D67BC">
        <w:rPr>
          <w:rFonts w:eastAsia="Times New Roman" w:cs="Times New Roman"/>
          <w:sz w:val="24"/>
          <w:szCs w:val="24"/>
        </w:rPr>
        <w:t>tab is to capture identifying information for a base budget and select the level at which the budget details will be entered. Additionally, the ability to save multiple scenarios of the base budget and pre-populate the base budget using previously entered values is provided.</w:t>
      </w:r>
    </w:p>
    <w:p w:rsidR="005E4200" w:rsidRPr="006F23AE" w:rsidRDefault="005E4200" w:rsidP="00614438">
      <w:pPr>
        <w:spacing w:before="100" w:beforeAutospacing="1" w:after="100" w:afterAutospacing="1" w:line="240" w:lineRule="auto"/>
        <w:jc w:val="center"/>
        <w:outlineLvl w:val="1"/>
        <w:rPr>
          <w:rFonts w:asciiTheme="majorHAnsi" w:eastAsia="Times New Roman" w:hAnsiTheme="majorHAnsi" w:cs="Times New Roman"/>
          <w:b/>
          <w:bCs/>
          <w:sz w:val="36"/>
          <w:szCs w:val="36"/>
        </w:rPr>
      </w:pPr>
      <w:r w:rsidRPr="006F23AE">
        <w:rPr>
          <w:rFonts w:asciiTheme="majorHAnsi" w:eastAsia="Times New Roman" w:hAnsiTheme="majorHAnsi" w:cs="Times New Roman"/>
          <w:b/>
          <w:bCs/>
          <w:noProof/>
          <w:sz w:val="36"/>
          <w:szCs w:val="36"/>
        </w:rPr>
        <w:drawing>
          <wp:inline distT="0" distB="0" distL="0" distR="0">
            <wp:extent cx="5114925" cy="2381250"/>
            <wp:effectExtent l="19050" t="19050" r="28575" b="19050"/>
            <wp:docPr id="170" name="Picture 170" descr="https://pbprod.vita.virginia.gov/PBApp/Help/Images/BaseBudget_Overview_AgencyAnaly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pbprod.vita.virginia.gov/PBApp/Help/Images/BaseBudget_Overview_AgencyAnalyst.jpg"/>
                    <pic:cNvPicPr>
                      <a:picLocks noChangeAspect="1" noChangeArrowheads="1"/>
                    </pic:cNvPicPr>
                  </pic:nvPicPr>
                  <pic:blipFill>
                    <a:blip r:embed="rId14" cstate="print"/>
                    <a:srcRect/>
                    <a:stretch>
                      <a:fillRect/>
                    </a:stretch>
                  </pic:blipFill>
                  <pic:spPr bwMode="auto">
                    <a:xfrm>
                      <a:off x="0" y="0"/>
                      <a:ext cx="5114925" cy="2381250"/>
                    </a:xfrm>
                    <a:prstGeom prst="rect">
                      <a:avLst/>
                    </a:prstGeom>
                    <a:noFill/>
                    <a:ln w="9525">
                      <a:solidFill>
                        <a:schemeClr val="accent1"/>
                      </a:solidFill>
                      <a:miter lim="800000"/>
                      <a:headEnd/>
                      <a:tailEnd/>
                    </a:ln>
                  </pic:spPr>
                </pic:pic>
              </a:graphicData>
            </a:graphic>
          </wp:inline>
        </w:drawing>
      </w:r>
    </w:p>
    <w:p w:rsidR="00ED1D07" w:rsidRDefault="00ED1D07" w:rsidP="00ED1D07">
      <w:pPr>
        <w:pStyle w:val="SubHeading"/>
      </w:pPr>
    </w:p>
    <w:p w:rsidR="005E4200" w:rsidRPr="00614438" w:rsidRDefault="00440C4F" w:rsidP="00ED1D07">
      <w:pPr>
        <w:pStyle w:val="SubHeading"/>
      </w:pPr>
      <w:bookmarkStart w:id="21" w:name="_Toc355338446"/>
      <w:r>
        <w:t>Over</w:t>
      </w:r>
      <w:r w:rsidR="00212A86">
        <w:t>view</w:t>
      </w:r>
      <w:r>
        <w:t xml:space="preserve"> Tab </w:t>
      </w:r>
      <w:r w:rsidR="005E4200" w:rsidRPr="00614438">
        <w:t>Instructions</w:t>
      </w:r>
      <w:bookmarkEnd w:id="21"/>
    </w:p>
    <w:p w:rsidR="005E4200" w:rsidRPr="005D67BC" w:rsidRDefault="005E4200" w:rsidP="00B753D5">
      <w:pPr>
        <w:numPr>
          <w:ilvl w:val="0"/>
          <w:numId w:val="5"/>
        </w:numPr>
        <w:spacing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Overview</w:t>
      </w:r>
      <w:r w:rsidRPr="005D67BC">
        <w:rPr>
          <w:rFonts w:eastAsia="Times New Roman" w:cs="Times New Roman"/>
          <w:sz w:val="24"/>
          <w:szCs w:val="24"/>
        </w:rPr>
        <w:t xml:space="preserve"> tab. </w:t>
      </w:r>
    </w:p>
    <w:p w:rsidR="005E4200" w:rsidRPr="005D67BC" w:rsidRDefault="005E4200" w:rsidP="00DC668B">
      <w:pPr>
        <w:numPr>
          <w:ilvl w:val="0"/>
          <w:numId w:val="5"/>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the </w:t>
      </w:r>
      <w:r w:rsidRPr="005D67BC">
        <w:rPr>
          <w:rFonts w:eastAsia="Times New Roman" w:cs="Times New Roman"/>
          <w:b/>
          <w:bCs/>
          <w:sz w:val="24"/>
          <w:szCs w:val="24"/>
        </w:rPr>
        <w:t>Agency</w:t>
      </w:r>
      <w:r w:rsidRPr="005D67BC">
        <w:rPr>
          <w:rFonts w:eastAsia="Times New Roman" w:cs="Times New Roman"/>
          <w:sz w:val="24"/>
          <w:szCs w:val="24"/>
        </w:rPr>
        <w:t xml:space="preserve"> for which the base budget is being prepared. </w:t>
      </w:r>
    </w:p>
    <w:p w:rsidR="005E4200" w:rsidRPr="005D67BC" w:rsidRDefault="005E4200" w:rsidP="00DC668B">
      <w:pPr>
        <w:numPr>
          <w:ilvl w:val="0"/>
          <w:numId w:val="5"/>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the </w:t>
      </w:r>
      <w:r w:rsidRPr="005D67BC">
        <w:rPr>
          <w:rFonts w:eastAsia="Times New Roman" w:cs="Times New Roman"/>
          <w:b/>
          <w:bCs/>
          <w:sz w:val="24"/>
          <w:szCs w:val="24"/>
        </w:rPr>
        <w:t>Biennium</w:t>
      </w:r>
      <w:r w:rsidRPr="005D67BC">
        <w:rPr>
          <w:rFonts w:eastAsia="Times New Roman" w:cs="Times New Roman"/>
          <w:sz w:val="24"/>
          <w:szCs w:val="24"/>
        </w:rPr>
        <w:t xml:space="preserve"> to which the base budget will be applied. </w:t>
      </w:r>
    </w:p>
    <w:p w:rsidR="005E4200" w:rsidRPr="005D67BC" w:rsidRDefault="005E4200" w:rsidP="00DC668B">
      <w:pPr>
        <w:numPr>
          <w:ilvl w:val="0"/>
          <w:numId w:val="5"/>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To create a new base budget scenario, enter the </w:t>
      </w:r>
      <w:r w:rsidRPr="005D67BC">
        <w:rPr>
          <w:rFonts w:eastAsia="Times New Roman" w:cs="Times New Roman"/>
          <w:b/>
          <w:bCs/>
          <w:sz w:val="24"/>
          <w:szCs w:val="24"/>
        </w:rPr>
        <w:t>Scenario Title</w:t>
      </w:r>
      <w:r w:rsidRPr="005D67BC">
        <w:rPr>
          <w:rFonts w:eastAsia="Times New Roman" w:cs="Times New Roman"/>
          <w:sz w:val="24"/>
          <w:szCs w:val="24"/>
        </w:rPr>
        <w:t xml:space="preserve"> for the agency base budget and then click </w:t>
      </w:r>
      <w:r w:rsidRPr="005D67BC">
        <w:rPr>
          <w:rFonts w:eastAsia="Times New Roman" w:cs="Times New Roman"/>
          <w:b/>
          <w:bCs/>
          <w:sz w:val="24"/>
          <w:szCs w:val="24"/>
        </w:rPr>
        <w:t>Save</w:t>
      </w:r>
      <w:r w:rsidRPr="005D67BC">
        <w:rPr>
          <w:rFonts w:eastAsia="Times New Roman" w:cs="Times New Roman"/>
          <w:sz w:val="24"/>
          <w:szCs w:val="24"/>
        </w:rPr>
        <w:t xml:space="preserve">. To work with an existing scenario, select the </w:t>
      </w:r>
      <w:r w:rsidRPr="005D67BC">
        <w:rPr>
          <w:rFonts w:eastAsia="Times New Roman" w:cs="Times New Roman"/>
          <w:b/>
          <w:bCs/>
          <w:sz w:val="24"/>
          <w:szCs w:val="24"/>
        </w:rPr>
        <w:t>Scenario</w:t>
      </w:r>
      <w:r w:rsidRPr="005D67BC">
        <w:rPr>
          <w:rFonts w:eastAsia="Times New Roman" w:cs="Times New Roman"/>
          <w:sz w:val="24"/>
          <w:szCs w:val="24"/>
        </w:rPr>
        <w:t xml:space="preserve">, and then click </w:t>
      </w:r>
      <w:r w:rsidRPr="005D67BC">
        <w:rPr>
          <w:rFonts w:eastAsia="Times New Roman" w:cs="Times New Roman"/>
          <w:b/>
          <w:bCs/>
          <w:sz w:val="24"/>
          <w:szCs w:val="24"/>
        </w:rPr>
        <w:t>Load</w:t>
      </w:r>
      <w:r w:rsidRPr="005D67BC">
        <w:rPr>
          <w:rFonts w:eastAsia="Times New Roman" w:cs="Times New Roman"/>
          <w:sz w:val="24"/>
          <w:szCs w:val="24"/>
        </w:rPr>
        <w:t xml:space="preserve">. Once you are done working with a scenario, click Save again before submitting the base budget. </w:t>
      </w:r>
    </w:p>
    <w:p w:rsidR="005E4200" w:rsidRPr="005D67BC" w:rsidRDefault="005E4200" w:rsidP="00DC668B">
      <w:pPr>
        <w:numPr>
          <w:ilvl w:val="0"/>
          <w:numId w:val="5"/>
        </w:numPr>
        <w:spacing w:before="100" w:beforeAutospacing="1" w:after="100" w:afterAutospacing="1" w:line="240" w:lineRule="auto"/>
        <w:rPr>
          <w:rFonts w:eastAsia="Times New Roman" w:cs="Times New Roman"/>
          <w:sz w:val="24"/>
          <w:szCs w:val="24"/>
        </w:rPr>
      </w:pPr>
      <w:r w:rsidRPr="005D67BC">
        <w:rPr>
          <w:rFonts w:eastAsia="Times New Roman" w:cs="Times New Roman"/>
          <w:b/>
          <w:bCs/>
          <w:sz w:val="24"/>
          <w:szCs w:val="24"/>
        </w:rPr>
        <w:t>Check Show Cost Code?</w:t>
      </w:r>
      <w:r w:rsidRPr="005D67BC">
        <w:rPr>
          <w:rFonts w:eastAsia="Times New Roman" w:cs="Times New Roman"/>
          <w:sz w:val="24"/>
          <w:szCs w:val="24"/>
        </w:rPr>
        <w:t xml:space="preserve"> </w:t>
      </w:r>
      <w:proofErr w:type="gramStart"/>
      <w:r w:rsidRPr="005D67BC">
        <w:rPr>
          <w:rFonts w:eastAsia="Times New Roman" w:cs="Times New Roman"/>
          <w:sz w:val="24"/>
          <w:szCs w:val="24"/>
        </w:rPr>
        <w:t>and/or</w:t>
      </w:r>
      <w:proofErr w:type="gramEnd"/>
      <w:r w:rsidRPr="005D67BC">
        <w:rPr>
          <w:rFonts w:eastAsia="Times New Roman" w:cs="Times New Roman"/>
          <w:sz w:val="24"/>
          <w:szCs w:val="24"/>
        </w:rPr>
        <w:t xml:space="preserve"> </w:t>
      </w:r>
      <w:r w:rsidRPr="005D67BC">
        <w:rPr>
          <w:rFonts w:eastAsia="Times New Roman" w:cs="Times New Roman"/>
          <w:b/>
          <w:bCs/>
          <w:sz w:val="24"/>
          <w:szCs w:val="24"/>
        </w:rPr>
        <w:t>Show Project Code?</w:t>
      </w:r>
      <w:r w:rsidRPr="005D67BC">
        <w:rPr>
          <w:rFonts w:eastAsia="Times New Roman" w:cs="Times New Roman"/>
          <w:sz w:val="24"/>
          <w:szCs w:val="24"/>
        </w:rPr>
        <w:t xml:space="preserve"> If the base budget will be entered at the cost code level, project code level, or both. </w:t>
      </w:r>
    </w:p>
    <w:p w:rsidR="005E4200" w:rsidRPr="005D67BC" w:rsidRDefault="005E4200" w:rsidP="00DC668B">
      <w:pPr>
        <w:numPr>
          <w:ilvl w:val="0"/>
          <w:numId w:val="5"/>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Check </w:t>
      </w:r>
      <w:r w:rsidRPr="005D67BC">
        <w:rPr>
          <w:rFonts w:eastAsia="Times New Roman" w:cs="Times New Roman"/>
          <w:b/>
          <w:bCs/>
          <w:sz w:val="24"/>
          <w:szCs w:val="24"/>
        </w:rPr>
        <w:t xml:space="preserve">Strategic </w:t>
      </w:r>
      <w:proofErr w:type="gramStart"/>
      <w:r w:rsidRPr="005D67BC">
        <w:rPr>
          <w:rFonts w:eastAsia="Times New Roman" w:cs="Times New Roman"/>
          <w:b/>
          <w:bCs/>
          <w:sz w:val="24"/>
          <w:szCs w:val="24"/>
        </w:rPr>
        <w:t>Planning</w:t>
      </w:r>
      <w:proofErr w:type="gramEnd"/>
      <w:r w:rsidRPr="005D67BC">
        <w:rPr>
          <w:rFonts w:eastAsia="Times New Roman" w:cs="Times New Roman"/>
          <w:b/>
          <w:bCs/>
          <w:sz w:val="24"/>
          <w:szCs w:val="24"/>
        </w:rPr>
        <w:t xml:space="preserve"> allocation not required?</w:t>
      </w:r>
      <w:r w:rsidRPr="005D67BC">
        <w:rPr>
          <w:rFonts w:eastAsia="Times New Roman" w:cs="Times New Roman"/>
          <w:sz w:val="24"/>
          <w:szCs w:val="24"/>
        </w:rPr>
        <w:t xml:space="preserve"> If your agency does not participate in strategic planning in the Performance Budgeting System. Participating agencies should leave this unchecked and will need to complete the information on the </w:t>
      </w:r>
      <w:r w:rsidRPr="005D67BC">
        <w:rPr>
          <w:rFonts w:eastAsia="Times New Roman" w:cs="Times New Roman"/>
          <w:b/>
          <w:bCs/>
          <w:sz w:val="24"/>
          <w:szCs w:val="24"/>
        </w:rPr>
        <w:t>Strategic Link</w:t>
      </w:r>
      <w:r w:rsidRPr="005D67BC">
        <w:rPr>
          <w:rFonts w:eastAsia="Times New Roman" w:cs="Times New Roman"/>
          <w:sz w:val="24"/>
          <w:szCs w:val="24"/>
        </w:rPr>
        <w:t xml:space="preserve"> tab.</w:t>
      </w:r>
    </w:p>
    <w:p w:rsidR="00614438" w:rsidRPr="005D67BC" w:rsidRDefault="005E4200" w:rsidP="00614438">
      <w:pPr>
        <w:numPr>
          <w:ilvl w:val="0"/>
          <w:numId w:val="5"/>
        </w:numPr>
        <w:spacing w:before="100" w:beforeAutospacing="1" w:after="120" w:line="240" w:lineRule="auto"/>
        <w:rPr>
          <w:rFonts w:eastAsia="Times New Roman" w:cs="Times New Roman"/>
          <w:sz w:val="24"/>
          <w:szCs w:val="24"/>
        </w:rPr>
      </w:pPr>
      <w:r w:rsidRPr="005D67BC">
        <w:rPr>
          <w:rFonts w:eastAsia="Times New Roman" w:cs="Times New Roman"/>
          <w:sz w:val="24"/>
          <w:szCs w:val="24"/>
        </w:rPr>
        <w:t xml:space="preserve">To pre-populate the </w:t>
      </w:r>
      <w:r w:rsidRPr="005D67BC">
        <w:rPr>
          <w:rFonts w:eastAsia="Times New Roman" w:cs="Times New Roman"/>
          <w:b/>
          <w:bCs/>
          <w:sz w:val="24"/>
          <w:szCs w:val="24"/>
        </w:rPr>
        <w:t>Total Services</w:t>
      </w:r>
      <w:r w:rsidRPr="005D67BC">
        <w:rPr>
          <w:rFonts w:eastAsia="Times New Roman" w:cs="Times New Roman"/>
          <w:sz w:val="24"/>
          <w:szCs w:val="24"/>
        </w:rPr>
        <w:t xml:space="preserve"> Grid on the </w:t>
      </w:r>
      <w:r w:rsidRPr="005D67BC">
        <w:rPr>
          <w:rFonts w:eastAsia="Times New Roman" w:cs="Times New Roman"/>
          <w:b/>
          <w:bCs/>
          <w:sz w:val="24"/>
          <w:szCs w:val="24"/>
        </w:rPr>
        <w:t>Base Budget</w:t>
      </w:r>
      <w:r w:rsidRPr="005D67BC">
        <w:rPr>
          <w:rFonts w:eastAsia="Times New Roman" w:cs="Times New Roman"/>
          <w:sz w:val="24"/>
          <w:szCs w:val="24"/>
        </w:rPr>
        <w:t xml:space="preserve"> tab (1st and 2nd years of the biennium) with existing data, make a selection from the </w:t>
      </w:r>
      <w:r w:rsidRPr="005D67BC">
        <w:rPr>
          <w:rFonts w:eastAsia="Times New Roman" w:cs="Times New Roman"/>
          <w:b/>
          <w:bCs/>
          <w:sz w:val="24"/>
          <w:szCs w:val="24"/>
        </w:rPr>
        <w:t>Pre-populate Base Budget</w:t>
      </w:r>
      <w:r w:rsidRPr="005D67BC">
        <w:rPr>
          <w:rFonts w:eastAsia="Times New Roman" w:cs="Times New Roman"/>
          <w:sz w:val="24"/>
          <w:szCs w:val="24"/>
        </w:rPr>
        <w:t xml:space="preserve"> with a choice of options in the Pre-Populate Base Budget dropdown and then click the Pre-populate Base Budget button. The choices are as follows: </w:t>
      </w:r>
    </w:p>
    <w:p w:rsidR="005E4200" w:rsidRPr="005D67BC" w:rsidRDefault="005E4200" w:rsidP="00614438">
      <w:pPr>
        <w:numPr>
          <w:ilvl w:val="1"/>
          <w:numId w:val="14"/>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a) ASP Base Budget Baseline (this option is for agencies that use the Agency Spend Plan module and choose to create their base budgets in that module); </w:t>
      </w:r>
    </w:p>
    <w:p w:rsidR="005E4200" w:rsidRPr="005D67BC" w:rsidRDefault="005E4200" w:rsidP="00614438">
      <w:pPr>
        <w:numPr>
          <w:ilvl w:val="1"/>
          <w:numId w:val="14"/>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b) Current Appropriated Amount (this option populates the Total Services Grid with the year two amounts from the most recently adopted Appropriation Act - these amounts are used to create the base budget targets found at the top of the Base Budget tab and as a result, is the most common selection); </w:t>
      </w:r>
    </w:p>
    <w:p w:rsidR="005E4200" w:rsidRPr="005D67BC" w:rsidRDefault="005E4200" w:rsidP="00614438">
      <w:pPr>
        <w:numPr>
          <w:ilvl w:val="1"/>
          <w:numId w:val="14"/>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 Current Year Operating Plan (populates amounts equivalent to the amounts from option b listed above plus any execution transaction for year 2 - note: depending on the time of year base budgets are commenced, there may be little or no execution transaction activity); </w:t>
      </w:r>
    </w:p>
    <w:p w:rsidR="005E4200" w:rsidRPr="005D67BC" w:rsidRDefault="005E4200" w:rsidP="00614438">
      <w:pPr>
        <w:numPr>
          <w:ilvl w:val="1"/>
          <w:numId w:val="14"/>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d) Prior Year </w:t>
      </w:r>
      <w:proofErr w:type="spellStart"/>
      <w:r w:rsidRPr="005D67BC">
        <w:rPr>
          <w:rFonts w:eastAsia="Times New Roman" w:cs="Times New Roman"/>
          <w:sz w:val="24"/>
          <w:szCs w:val="24"/>
        </w:rPr>
        <w:t>Actuals</w:t>
      </w:r>
      <w:proofErr w:type="spellEnd"/>
      <w:r w:rsidRPr="005D67BC">
        <w:rPr>
          <w:rFonts w:eastAsia="Times New Roman" w:cs="Times New Roman"/>
          <w:sz w:val="24"/>
          <w:szCs w:val="24"/>
        </w:rPr>
        <w:t xml:space="preserve"> (this option uses CARS expenditure data from the latest completed fiscal year); and </w:t>
      </w:r>
    </w:p>
    <w:p w:rsidR="005E4200" w:rsidRPr="005D67BC" w:rsidRDefault="005E4200" w:rsidP="00614438">
      <w:pPr>
        <w:numPr>
          <w:ilvl w:val="1"/>
          <w:numId w:val="14"/>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e) Prior Year Operating Plan (this option uses appropriation from the prior year / year one of the biennium plus any execution transactions approved for that year.</w:t>
      </w:r>
      <w:r w:rsidR="00B66AF4">
        <w:rPr>
          <w:rFonts w:eastAsia="Times New Roman" w:cs="Times New Roman"/>
          <w:sz w:val="24"/>
          <w:szCs w:val="24"/>
        </w:rPr>
        <w:t>)</w:t>
      </w:r>
      <w:r w:rsidRPr="005D67BC">
        <w:rPr>
          <w:rFonts w:eastAsia="Times New Roman" w:cs="Times New Roman"/>
          <w:sz w:val="24"/>
          <w:szCs w:val="24"/>
        </w:rPr>
        <w:t xml:space="preserve"> </w:t>
      </w:r>
    </w:p>
    <w:p w:rsidR="00B753D5" w:rsidRDefault="00B753D5">
      <w:pPr>
        <w:rPr>
          <w:rFonts w:ascii="Calibri" w:eastAsia="Times New Roman" w:hAnsi="Calibri" w:cs="Times New Roman"/>
          <w:b/>
          <w:bCs/>
          <w:color w:val="4F81BD"/>
          <w:sz w:val="36"/>
          <w:szCs w:val="36"/>
        </w:rPr>
      </w:pPr>
      <w:r>
        <w:br w:type="page"/>
      </w:r>
    </w:p>
    <w:p w:rsidR="00614438" w:rsidRPr="00F65AE5" w:rsidRDefault="00614438" w:rsidP="00614438">
      <w:pPr>
        <w:pStyle w:val="HelpTopic"/>
      </w:pPr>
      <w:r>
        <w:lastRenderedPageBreak/>
        <w:t>Base Budget Tab</w:t>
      </w:r>
    </w:p>
    <w:p w:rsidR="005E4200" w:rsidRPr="00B753D5" w:rsidRDefault="00273233" w:rsidP="005E4200">
      <w:pPr>
        <w:spacing w:after="0" w:line="240" w:lineRule="auto"/>
        <w:rPr>
          <w:rFonts w:asciiTheme="majorHAnsi" w:eastAsia="Times New Roman" w:hAnsiTheme="majorHAnsi" w:cs="Times New Roman"/>
          <w:sz w:val="16"/>
          <w:szCs w:val="16"/>
        </w:rPr>
      </w:pPr>
      <w:r w:rsidRPr="00273233">
        <w:rPr>
          <w:rFonts w:asciiTheme="majorHAnsi" w:eastAsia="Times New Roman" w:hAnsiTheme="majorHAnsi" w:cs="Times New Roman"/>
          <w:sz w:val="16"/>
          <w:szCs w:val="16"/>
        </w:rPr>
        <w:pict>
          <v:rect id="_x0000_i1038" style="width:468pt;height:1.5pt" o:hralign="center" o:hrstd="t" o:hr="t" fillcolor="#a0a0a0" stroked="f"/>
        </w:pict>
      </w:r>
    </w:p>
    <w:p w:rsidR="00614438" w:rsidRPr="00A37BC3" w:rsidRDefault="00440C4F" w:rsidP="00ED1D07">
      <w:pPr>
        <w:pStyle w:val="SubHeading"/>
      </w:pPr>
      <w:bookmarkStart w:id="22" w:name="_Toc355338447"/>
      <w:r>
        <w:t xml:space="preserve">Base Budget Tab </w:t>
      </w:r>
      <w:r w:rsidR="00614438" w:rsidRPr="00A37BC3">
        <w:t>Overview</w:t>
      </w:r>
      <w:bookmarkEnd w:id="22"/>
    </w:p>
    <w:p w:rsidR="005E4200" w:rsidRPr="005D67BC" w:rsidRDefault="005E4200" w:rsidP="00B753D5">
      <w:pPr>
        <w:spacing w:after="100" w:afterAutospacing="1" w:line="240" w:lineRule="auto"/>
        <w:rPr>
          <w:rFonts w:eastAsia="Times New Roman" w:cs="Times New Roman"/>
          <w:sz w:val="24"/>
          <w:szCs w:val="24"/>
        </w:rPr>
      </w:pPr>
      <w:r w:rsidRPr="005D67BC">
        <w:rPr>
          <w:rFonts w:eastAsia="Times New Roman" w:cs="Times New Roman"/>
          <w:sz w:val="24"/>
          <w:szCs w:val="24"/>
        </w:rPr>
        <w:t xml:space="preserve">The purpose of the </w:t>
      </w:r>
      <w:r w:rsidRPr="005D67BC">
        <w:rPr>
          <w:rFonts w:eastAsia="Times New Roman" w:cs="Times New Roman"/>
          <w:b/>
          <w:bCs/>
          <w:sz w:val="24"/>
          <w:szCs w:val="24"/>
        </w:rPr>
        <w:t>Budget Detail</w:t>
      </w:r>
      <w:r w:rsidRPr="005D67BC">
        <w:rPr>
          <w:rFonts w:eastAsia="Times New Roman" w:cs="Times New Roman"/>
          <w:sz w:val="24"/>
          <w:szCs w:val="24"/>
        </w:rPr>
        <w:t xml:space="preserve"> tab is to capture the budget details, line by line, for the base budget. A user will be required to enter the program, fund, subobject, and FY 20XX and FY 20XX dollars for each budget line associated with the base budget. If a user specified that they would be budgeting at the cost code and/or project code levels, then they will be allowed to enter this level of detail when entering the budget details. Additionally, the </w:t>
      </w:r>
      <w:r w:rsidRPr="005D67BC">
        <w:rPr>
          <w:rFonts w:eastAsia="Times New Roman" w:cs="Times New Roman"/>
          <w:b/>
          <w:bCs/>
          <w:sz w:val="24"/>
          <w:szCs w:val="24"/>
        </w:rPr>
        <w:t>Position Planning</w:t>
      </w:r>
      <w:r w:rsidRPr="005D67BC">
        <w:rPr>
          <w:rFonts w:eastAsia="Times New Roman" w:cs="Times New Roman"/>
          <w:sz w:val="24"/>
          <w:szCs w:val="24"/>
        </w:rPr>
        <w:t xml:space="preserve"> tab must be used to budget for any positions associated with the base budget.</w:t>
      </w:r>
    </w:p>
    <w:p w:rsidR="005E4200" w:rsidRPr="006F23AE" w:rsidRDefault="005E4200" w:rsidP="004612F4">
      <w:pPr>
        <w:spacing w:before="100" w:beforeAutospacing="1" w:after="100" w:afterAutospacing="1" w:line="240" w:lineRule="auto"/>
        <w:jc w:val="center"/>
        <w:outlineLvl w:val="1"/>
        <w:rPr>
          <w:rFonts w:asciiTheme="majorHAnsi" w:eastAsia="Times New Roman" w:hAnsiTheme="majorHAnsi" w:cs="Times New Roman"/>
          <w:b/>
          <w:bCs/>
          <w:sz w:val="36"/>
          <w:szCs w:val="36"/>
        </w:rPr>
      </w:pPr>
      <w:r w:rsidRPr="006F23AE">
        <w:rPr>
          <w:rFonts w:asciiTheme="majorHAnsi" w:eastAsia="Times New Roman" w:hAnsiTheme="majorHAnsi" w:cs="Times New Roman"/>
          <w:b/>
          <w:bCs/>
          <w:noProof/>
          <w:sz w:val="36"/>
          <w:szCs w:val="36"/>
        </w:rPr>
        <w:drawing>
          <wp:inline distT="0" distB="0" distL="0" distR="0">
            <wp:extent cx="3962400" cy="2381250"/>
            <wp:effectExtent l="19050" t="19050" r="19050" b="19050"/>
            <wp:docPr id="173" name="Picture 173" descr="https://pbprod.vita.virginia.gov/PBApp/Help/Images/BaseBudget_BaseBudget_AgencyAnaly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pbprod.vita.virginia.gov/PBApp/Help/Images/BaseBudget_BaseBudget_AgencyAnalyst.jpg"/>
                    <pic:cNvPicPr>
                      <a:picLocks noChangeAspect="1" noChangeArrowheads="1"/>
                    </pic:cNvPicPr>
                  </pic:nvPicPr>
                  <pic:blipFill>
                    <a:blip r:embed="rId15" cstate="print"/>
                    <a:srcRect/>
                    <a:stretch>
                      <a:fillRect/>
                    </a:stretch>
                  </pic:blipFill>
                  <pic:spPr bwMode="auto">
                    <a:xfrm>
                      <a:off x="0" y="0"/>
                      <a:ext cx="3962400" cy="2381250"/>
                    </a:xfrm>
                    <a:prstGeom prst="rect">
                      <a:avLst/>
                    </a:prstGeom>
                    <a:noFill/>
                    <a:ln w="9525">
                      <a:solidFill>
                        <a:schemeClr val="accent1"/>
                      </a:solidFill>
                      <a:miter lim="800000"/>
                      <a:headEnd/>
                      <a:tailEnd/>
                    </a:ln>
                  </pic:spPr>
                </pic:pic>
              </a:graphicData>
            </a:graphic>
          </wp:inline>
        </w:drawing>
      </w:r>
    </w:p>
    <w:p w:rsidR="005E4200" w:rsidRPr="00614438" w:rsidRDefault="00440C4F" w:rsidP="00ED1D07">
      <w:pPr>
        <w:pStyle w:val="SubHeading"/>
      </w:pPr>
      <w:bookmarkStart w:id="23" w:name="_Toc355338448"/>
      <w:r>
        <w:t xml:space="preserve">Base Budget Tab </w:t>
      </w:r>
      <w:r w:rsidR="005E4200" w:rsidRPr="00614438">
        <w:t>Instructions</w:t>
      </w:r>
      <w:bookmarkEnd w:id="23"/>
    </w:p>
    <w:p w:rsidR="005E4200" w:rsidRPr="005D67BC" w:rsidRDefault="005E4200" w:rsidP="00DC668B">
      <w:pPr>
        <w:numPr>
          <w:ilvl w:val="0"/>
          <w:numId w:val="6"/>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Budget Detail</w:t>
      </w:r>
      <w:r w:rsidRPr="005D67BC">
        <w:rPr>
          <w:rFonts w:eastAsia="Times New Roman" w:cs="Times New Roman"/>
          <w:sz w:val="24"/>
          <w:szCs w:val="24"/>
        </w:rPr>
        <w:t xml:space="preserve"> tab. </w:t>
      </w:r>
    </w:p>
    <w:p w:rsidR="005E4200" w:rsidRPr="005D67BC" w:rsidRDefault="005E4200" w:rsidP="000D18B1">
      <w:pPr>
        <w:numPr>
          <w:ilvl w:val="0"/>
          <w:numId w:val="6"/>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Take note of the targets in the </w:t>
      </w:r>
      <w:r w:rsidRPr="005D67BC">
        <w:rPr>
          <w:rFonts w:eastAsia="Times New Roman" w:cs="Times New Roman"/>
          <w:b/>
          <w:bCs/>
          <w:sz w:val="24"/>
          <w:szCs w:val="24"/>
        </w:rPr>
        <w:t>Targets</w:t>
      </w:r>
      <w:r w:rsidRPr="005D67BC">
        <w:rPr>
          <w:rFonts w:eastAsia="Times New Roman" w:cs="Times New Roman"/>
          <w:sz w:val="24"/>
          <w:szCs w:val="24"/>
        </w:rPr>
        <w:t xml:space="preserve"> grid as they will need to be met as described by DPB. Targets are established by DPB and can be for the program, fund or subobject dimensions. </w:t>
      </w:r>
    </w:p>
    <w:p w:rsidR="005E4200" w:rsidRPr="005D67BC" w:rsidRDefault="005E4200" w:rsidP="00DC668B">
      <w:pPr>
        <w:numPr>
          <w:ilvl w:val="0"/>
          <w:numId w:val="6"/>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Confirm the personal services data that populated the </w:t>
      </w:r>
      <w:r w:rsidRPr="005D67BC">
        <w:rPr>
          <w:rFonts w:eastAsia="Times New Roman" w:cs="Times New Roman"/>
          <w:b/>
          <w:bCs/>
          <w:sz w:val="24"/>
          <w:szCs w:val="24"/>
        </w:rPr>
        <w:t>Total Services</w:t>
      </w:r>
      <w:r w:rsidRPr="005D67BC">
        <w:rPr>
          <w:rFonts w:eastAsia="Times New Roman" w:cs="Times New Roman"/>
          <w:sz w:val="24"/>
          <w:szCs w:val="24"/>
        </w:rPr>
        <w:t xml:space="preserve"> grid from the </w:t>
      </w:r>
      <w:r w:rsidRPr="005D67BC">
        <w:rPr>
          <w:rFonts w:eastAsia="Times New Roman" w:cs="Times New Roman"/>
          <w:b/>
          <w:bCs/>
          <w:sz w:val="24"/>
          <w:szCs w:val="24"/>
        </w:rPr>
        <w:t>Position Planning</w:t>
      </w:r>
      <w:r w:rsidRPr="005D67BC">
        <w:rPr>
          <w:rFonts w:eastAsia="Times New Roman" w:cs="Times New Roman"/>
          <w:sz w:val="24"/>
          <w:szCs w:val="24"/>
        </w:rPr>
        <w:t xml:space="preserve"> tab is correct. If the data is incorrect, return to the </w:t>
      </w:r>
      <w:r w:rsidRPr="005D67BC">
        <w:rPr>
          <w:rFonts w:eastAsia="Times New Roman" w:cs="Times New Roman"/>
          <w:b/>
          <w:bCs/>
          <w:sz w:val="24"/>
          <w:szCs w:val="24"/>
        </w:rPr>
        <w:t>Position Planning</w:t>
      </w:r>
      <w:r w:rsidRPr="005D67BC">
        <w:rPr>
          <w:rFonts w:eastAsia="Times New Roman" w:cs="Times New Roman"/>
          <w:sz w:val="24"/>
          <w:szCs w:val="24"/>
        </w:rPr>
        <w:t xml:space="preserve"> tab to make corrections and then repopulate the data as described in the Position Planning tab instructions. </w:t>
      </w:r>
    </w:p>
    <w:p w:rsidR="005E4200" w:rsidRPr="005D67BC" w:rsidRDefault="005E4200" w:rsidP="00DC668B">
      <w:pPr>
        <w:numPr>
          <w:ilvl w:val="0"/>
          <w:numId w:val="6"/>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In the </w:t>
      </w:r>
      <w:r w:rsidRPr="005D67BC">
        <w:rPr>
          <w:rFonts w:eastAsia="Times New Roman" w:cs="Times New Roman"/>
          <w:b/>
          <w:bCs/>
          <w:sz w:val="24"/>
          <w:szCs w:val="24"/>
        </w:rPr>
        <w:t>Total Services</w:t>
      </w:r>
      <w:r w:rsidRPr="005D67BC">
        <w:rPr>
          <w:rFonts w:eastAsia="Times New Roman" w:cs="Times New Roman"/>
          <w:sz w:val="24"/>
          <w:szCs w:val="24"/>
        </w:rPr>
        <w:t xml:space="preserve"> grid, enter the</w:t>
      </w:r>
      <w:r w:rsidRPr="005D67BC">
        <w:rPr>
          <w:rFonts w:eastAsia="Times New Roman" w:cs="Times New Roman"/>
          <w:b/>
          <w:bCs/>
          <w:sz w:val="24"/>
          <w:szCs w:val="24"/>
        </w:rPr>
        <w:t xml:space="preserve"> Program</w:t>
      </w:r>
      <w:r w:rsidRPr="005D67BC">
        <w:rPr>
          <w:rFonts w:eastAsia="Times New Roman" w:cs="Times New Roman"/>
          <w:sz w:val="24"/>
          <w:szCs w:val="24"/>
        </w:rPr>
        <w:t xml:space="preserve"> (Program, Service Area or Component), </w:t>
      </w:r>
      <w:r w:rsidRPr="005D67BC">
        <w:rPr>
          <w:rFonts w:eastAsia="Times New Roman" w:cs="Times New Roman"/>
          <w:b/>
          <w:bCs/>
          <w:sz w:val="24"/>
          <w:szCs w:val="24"/>
        </w:rPr>
        <w:t>Fund</w:t>
      </w:r>
      <w:r w:rsidRPr="005D67BC">
        <w:rPr>
          <w:rFonts w:eastAsia="Times New Roman" w:cs="Times New Roman"/>
          <w:sz w:val="24"/>
          <w:szCs w:val="24"/>
        </w:rPr>
        <w:t xml:space="preserve">, and </w:t>
      </w:r>
      <w:r w:rsidRPr="005D67BC">
        <w:rPr>
          <w:rFonts w:eastAsia="Times New Roman" w:cs="Times New Roman"/>
          <w:b/>
          <w:bCs/>
          <w:sz w:val="24"/>
          <w:szCs w:val="24"/>
        </w:rPr>
        <w:t>Subobject</w:t>
      </w:r>
      <w:r w:rsidRPr="005D67BC">
        <w:rPr>
          <w:rFonts w:eastAsia="Times New Roman" w:cs="Times New Roman"/>
          <w:sz w:val="24"/>
          <w:szCs w:val="24"/>
        </w:rPr>
        <w:t xml:space="preserve"> for each Non-personal Services budget line. Additionally, if applicable for the budget line, enter the </w:t>
      </w:r>
      <w:r w:rsidRPr="005D67BC">
        <w:rPr>
          <w:rFonts w:eastAsia="Times New Roman" w:cs="Times New Roman"/>
          <w:b/>
          <w:bCs/>
          <w:sz w:val="24"/>
          <w:szCs w:val="24"/>
        </w:rPr>
        <w:t>Cost Code</w:t>
      </w:r>
      <w:r w:rsidRPr="005D67BC">
        <w:rPr>
          <w:rFonts w:eastAsia="Times New Roman" w:cs="Times New Roman"/>
          <w:sz w:val="24"/>
          <w:szCs w:val="24"/>
        </w:rPr>
        <w:t xml:space="preserve"> and/or </w:t>
      </w:r>
      <w:r w:rsidRPr="005D67BC">
        <w:rPr>
          <w:rFonts w:eastAsia="Times New Roman" w:cs="Times New Roman"/>
          <w:b/>
          <w:bCs/>
          <w:sz w:val="24"/>
          <w:szCs w:val="24"/>
        </w:rPr>
        <w:t>Project Code</w:t>
      </w:r>
      <w:r w:rsidRPr="005D67BC">
        <w:rPr>
          <w:rFonts w:eastAsia="Times New Roman" w:cs="Times New Roman"/>
          <w:sz w:val="24"/>
          <w:szCs w:val="24"/>
        </w:rPr>
        <w:t xml:space="preserve">. </w:t>
      </w:r>
    </w:p>
    <w:p w:rsidR="005E4200" w:rsidRPr="005D67BC" w:rsidRDefault="005E4200" w:rsidP="00DC668B">
      <w:pPr>
        <w:numPr>
          <w:ilvl w:val="0"/>
          <w:numId w:val="6"/>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Add rows to the </w:t>
      </w:r>
      <w:r w:rsidRPr="005D67BC">
        <w:rPr>
          <w:rFonts w:eastAsia="Times New Roman" w:cs="Times New Roman"/>
          <w:b/>
          <w:bCs/>
          <w:sz w:val="24"/>
          <w:szCs w:val="24"/>
        </w:rPr>
        <w:t>Total Services</w:t>
      </w:r>
      <w:r w:rsidRPr="005D67BC">
        <w:rPr>
          <w:rFonts w:eastAsia="Times New Roman" w:cs="Times New Roman"/>
          <w:sz w:val="24"/>
          <w:szCs w:val="24"/>
        </w:rPr>
        <w:t xml:space="preserve"> grid, by clicking the </w:t>
      </w:r>
      <w:r w:rsidRPr="005D67BC">
        <w:rPr>
          <w:rFonts w:eastAsia="Times New Roman" w:cs="Times New Roman"/>
          <w:b/>
          <w:bCs/>
          <w:sz w:val="24"/>
          <w:szCs w:val="24"/>
        </w:rPr>
        <w:t>Add</w:t>
      </w:r>
      <w:r w:rsidRPr="005D67BC">
        <w:rPr>
          <w:rFonts w:eastAsia="Times New Roman" w:cs="Times New Roman"/>
          <w:sz w:val="24"/>
          <w:szCs w:val="24"/>
        </w:rPr>
        <w:t xml:space="preserve"> button in the lower left corner of the grid as needed in order to specify multiple Non-personal Services line items.</w:t>
      </w:r>
    </w:p>
    <w:p w:rsidR="00B753D5" w:rsidRDefault="00B753D5">
      <w:pPr>
        <w:rPr>
          <w:rFonts w:ascii="Calibri" w:eastAsia="Times New Roman" w:hAnsi="Calibri" w:cs="Times New Roman"/>
          <w:b/>
          <w:bCs/>
          <w:color w:val="4F81BD"/>
          <w:sz w:val="36"/>
          <w:szCs w:val="36"/>
        </w:rPr>
      </w:pPr>
      <w:r>
        <w:br w:type="page"/>
      </w:r>
    </w:p>
    <w:p w:rsidR="005E4200" w:rsidRPr="00614438" w:rsidRDefault="005E4200" w:rsidP="00614438">
      <w:pPr>
        <w:pStyle w:val="HelpTopic"/>
      </w:pPr>
      <w:r w:rsidRPr="00614438">
        <w:lastRenderedPageBreak/>
        <w:t>Position Planning Tab</w:t>
      </w:r>
    </w:p>
    <w:p w:rsidR="005E4200" w:rsidRPr="006F23AE" w:rsidRDefault="00273233" w:rsidP="005E4200">
      <w:pPr>
        <w:spacing w:after="0" w:line="240" w:lineRule="auto"/>
        <w:rPr>
          <w:rFonts w:asciiTheme="majorHAnsi" w:eastAsia="Times New Roman" w:hAnsiTheme="majorHAnsi" w:cs="Times New Roman"/>
          <w:sz w:val="24"/>
          <w:szCs w:val="24"/>
        </w:rPr>
      </w:pPr>
      <w:r w:rsidRPr="00273233">
        <w:rPr>
          <w:rFonts w:asciiTheme="majorHAnsi" w:eastAsia="Times New Roman" w:hAnsiTheme="majorHAnsi" w:cs="Times New Roman"/>
          <w:sz w:val="24"/>
          <w:szCs w:val="24"/>
        </w:rPr>
        <w:pict>
          <v:rect id="_x0000_i1039" style="width:468pt;height:1.5pt" o:hralign="center" o:hrstd="t" o:hr="t" fillcolor="#a0a0a0" stroked="f"/>
        </w:pict>
      </w:r>
    </w:p>
    <w:p w:rsidR="005E4200" w:rsidRPr="00614438" w:rsidRDefault="00440C4F" w:rsidP="00ED1D07">
      <w:pPr>
        <w:pStyle w:val="SubHeading"/>
      </w:pPr>
      <w:bookmarkStart w:id="24" w:name="_Toc355338449"/>
      <w:r w:rsidRPr="00440C4F">
        <w:t>Position Planning Tab</w:t>
      </w:r>
      <w:r>
        <w:t xml:space="preserve"> </w:t>
      </w:r>
      <w:r w:rsidR="005E4200" w:rsidRPr="00614438">
        <w:t>Overview</w:t>
      </w:r>
      <w:bookmarkEnd w:id="24"/>
    </w:p>
    <w:p w:rsidR="005E4200" w:rsidRPr="005D67BC" w:rsidRDefault="005E4200" w:rsidP="000D18B1">
      <w:p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The purpose of the </w:t>
      </w:r>
      <w:r w:rsidRPr="005D67BC">
        <w:rPr>
          <w:rFonts w:eastAsia="Times New Roman" w:cs="Times New Roman"/>
          <w:b/>
          <w:bCs/>
          <w:sz w:val="24"/>
          <w:szCs w:val="24"/>
        </w:rPr>
        <w:t>Position Planning</w:t>
      </w:r>
      <w:r w:rsidRPr="005D67BC">
        <w:rPr>
          <w:rFonts w:eastAsia="Times New Roman" w:cs="Times New Roman"/>
          <w:sz w:val="24"/>
          <w:szCs w:val="24"/>
        </w:rPr>
        <w:t xml:space="preserve"> tab is to record the authorized positions associated with an agency's base budget. Additionally, users can optionally leverage </w:t>
      </w:r>
      <w:r w:rsidR="002269A5">
        <w:rPr>
          <w:rFonts w:eastAsia="Times New Roman" w:cs="Times New Roman"/>
          <w:sz w:val="24"/>
          <w:szCs w:val="24"/>
        </w:rPr>
        <w:t xml:space="preserve">the Commonwealth of </w:t>
      </w:r>
      <w:proofErr w:type="gramStart"/>
      <w:r w:rsidR="002269A5">
        <w:rPr>
          <w:rFonts w:eastAsia="Times New Roman" w:cs="Times New Roman"/>
          <w:sz w:val="24"/>
          <w:szCs w:val="24"/>
        </w:rPr>
        <w:t xml:space="preserve">Virginia’s </w:t>
      </w:r>
      <w:r w:rsidRPr="005D67BC">
        <w:rPr>
          <w:rFonts w:eastAsia="Times New Roman" w:cs="Times New Roman"/>
          <w:sz w:val="24"/>
          <w:szCs w:val="24"/>
        </w:rPr>
        <w:t xml:space="preserve"> existing</w:t>
      </w:r>
      <w:proofErr w:type="gramEnd"/>
      <w:r w:rsidRPr="005D67BC">
        <w:rPr>
          <w:rFonts w:eastAsia="Times New Roman" w:cs="Times New Roman"/>
          <w:sz w:val="24"/>
          <w:szCs w:val="24"/>
        </w:rPr>
        <w:t xml:space="preserve"> HR data to budget for positions. Once the positions are entered, the personal services budget can be automatically calculated and the resulting budget data can be used to populate the personal services </w:t>
      </w:r>
      <w:proofErr w:type="spellStart"/>
      <w:r w:rsidRPr="005D67BC">
        <w:rPr>
          <w:rFonts w:eastAsia="Times New Roman" w:cs="Times New Roman"/>
          <w:sz w:val="24"/>
          <w:szCs w:val="24"/>
        </w:rPr>
        <w:t>subobjects</w:t>
      </w:r>
      <w:proofErr w:type="spellEnd"/>
      <w:r w:rsidRPr="005D67BC">
        <w:rPr>
          <w:rFonts w:eastAsia="Times New Roman" w:cs="Times New Roman"/>
          <w:sz w:val="24"/>
          <w:szCs w:val="24"/>
        </w:rPr>
        <w:t xml:space="preserve"> in the</w:t>
      </w:r>
      <w:r w:rsidRPr="005D67BC">
        <w:rPr>
          <w:rFonts w:eastAsia="Times New Roman" w:cs="Times New Roman"/>
          <w:b/>
          <w:bCs/>
          <w:sz w:val="24"/>
          <w:szCs w:val="24"/>
        </w:rPr>
        <w:t xml:space="preserve"> Total Services</w:t>
      </w:r>
      <w:r w:rsidRPr="005D67BC">
        <w:rPr>
          <w:rFonts w:eastAsia="Times New Roman" w:cs="Times New Roman"/>
          <w:sz w:val="24"/>
          <w:szCs w:val="24"/>
        </w:rPr>
        <w:t xml:space="preserve"> grid. For the base budget, users can opt out of using the position planning functionality and are only required to enter the total number of positions for each year of the biennium.</w:t>
      </w:r>
    </w:p>
    <w:p w:rsidR="005E4200" w:rsidRPr="006F23AE" w:rsidRDefault="005E4200" w:rsidP="004612F4">
      <w:pPr>
        <w:spacing w:before="100" w:beforeAutospacing="1" w:after="100" w:afterAutospacing="1" w:line="240" w:lineRule="auto"/>
        <w:jc w:val="center"/>
        <w:outlineLvl w:val="2"/>
        <w:rPr>
          <w:rFonts w:asciiTheme="majorHAnsi" w:eastAsia="Times New Roman" w:hAnsiTheme="majorHAnsi" w:cs="Times New Roman"/>
          <w:b/>
          <w:bCs/>
          <w:sz w:val="27"/>
          <w:szCs w:val="27"/>
        </w:rPr>
      </w:pPr>
      <w:r w:rsidRPr="006F23AE">
        <w:rPr>
          <w:rFonts w:asciiTheme="majorHAnsi" w:eastAsia="Times New Roman" w:hAnsiTheme="majorHAnsi" w:cs="Times New Roman"/>
          <w:b/>
          <w:bCs/>
          <w:noProof/>
          <w:sz w:val="27"/>
          <w:szCs w:val="27"/>
        </w:rPr>
        <w:drawing>
          <wp:inline distT="0" distB="0" distL="0" distR="0">
            <wp:extent cx="4086225" cy="2381250"/>
            <wp:effectExtent l="19050" t="19050" r="28575" b="19050"/>
            <wp:docPr id="176" name="Picture 176" descr="https://pbprod.vita.virginia.gov/PBApp/Help/Images/BaseBudget_PositionPlanning_AgencyAnaly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pbprod.vita.virginia.gov/PBApp/Help/Images/BaseBudget_PositionPlanning_AgencyAnalyst.jpg"/>
                    <pic:cNvPicPr>
                      <a:picLocks noChangeAspect="1" noChangeArrowheads="1"/>
                    </pic:cNvPicPr>
                  </pic:nvPicPr>
                  <pic:blipFill>
                    <a:blip r:embed="rId16" cstate="print"/>
                    <a:srcRect/>
                    <a:stretch>
                      <a:fillRect/>
                    </a:stretch>
                  </pic:blipFill>
                  <pic:spPr bwMode="auto">
                    <a:xfrm>
                      <a:off x="0" y="0"/>
                      <a:ext cx="4086225" cy="2381250"/>
                    </a:xfrm>
                    <a:prstGeom prst="rect">
                      <a:avLst/>
                    </a:prstGeom>
                    <a:noFill/>
                    <a:ln w="9525">
                      <a:solidFill>
                        <a:schemeClr val="accent1"/>
                      </a:solidFill>
                      <a:miter lim="800000"/>
                      <a:headEnd/>
                      <a:tailEnd/>
                    </a:ln>
                  </pic:spPr>
                </pic:pic>
              </a:graphicData>
            </a:graphic>
          </wp:inline>
        </w:drawing>
      </w:r>
    </w:p>
    <w:p w:rsidR="005E4200" w:rsidRPr="00614438" w:rsidRDefault="00440C4F" w:rsidP="00ED1D07">
      <w:pPr>
        <w:pStyle w:val="SubHeading"/>
      </w:pPr>
      <w:bookmarkStart w:id="25" w:name="_Toc355338450"/>
      <w:r w:rsidRPr="00440C4F">
        <w:t>Position Planning Tab</w:t>
      </w:r>
      <w:r>
        <w:t xml:space="preserve"> </w:t>
      </w:r>
      <w:r w:rsidR="00614438">
        <w:t>Instructions</w:t>
      </w:r>
      <w:bookmarkEnd w:id="25"/>
    </w:p>
    <w:p w:rsidR="005E4200" w:rsidRPr="005D67BC" w:rsidRDefault="005E4200" w:rsidP="000D18B1">
      <w:pPr>
        <w:spacing w:before="100" w:beforeAutospacing="1" w:after="100" w:afterAutospacing="1" w:line="240" w:lineRule="auto"/>
        <w:outlineLvl w:val="3"/>
        <w:rPr>
          <w:rFonts w:eastAsia="Times New Roman" w:cs="Times New Roman"/>
          <w:b/>
          <w:bCs/>
          <w:sz w:val="24"/>
          <w:szCs w:val="24"/>
        </w:rPr>
      </w:pPr>
      <w:r w:rsidRPr="005D67BC">
        <w:rPr>
          <w:rFonts w:eastAsia="Times New Roman" w:cs="Times New Roman"/>
          <w:b/>
          <w:bCs/>
          <w:sz w:val="24"/>
          <w:szCs w:val="24"/>
        </w:rPr>
        <w:t>Not Budgeting by Position or Role</w:t>
      </w:r>
    </w:p>
    <w:p w:rsidR="005E4200" w:rsidRPr="005D67BC" w:rsidRDefault="005E4200" w:rsidP="005E4200">
      <w:pPr>
        <w:spacing w:beforeAutospacing="1" w:after="100" w:afterAutospacing="1" w:line="240" w:lineRule="auto"/>
        <w:rPr>
          <w:rFonts w:eastAsia="Times New Roman" w:cs="Times New Roman"/>
          <w:sz w:val="24"/>
          <w:szCs w:val="24"/>
        </w:rPr>
      </w:pPr>
      <w:r w:rsidRPr="005D67BC">
        <w:rPr>
          <w:rFonts w:eastAsia="Times New Roman" w:cs="Times New Roman"/>
          <w:sz w:val="24"/>
          <w:szCs w:val="24"/>
        </w:rPr>
        <w:t>Use this method if you do not need to calculate the cost of positions in the Performance Budgeting System and only want to record the authorized position level associated with the base budget.</w:t>
      </w:r>
    </w:p>
    <w:p w:rsidR="005E4200" w:rsidRPr="005D67BC" w:rsidRDefault="005E4200" w:rsidP="00DC668B">
      <w:pPr>
        <w:numPr>
          <w:ilvl w:val="0"/>
          <w:numId w:val="7"/>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Position Planning</w:t>
      </w:r>
      <w:r w:rsidRPr="005D67BC">
        <w:rPr>
          <w:rFonts w:eastAsia="Times New Roman" w:cs="Times New Roman"/>
          <w:sz w:val="24"/>
          <w:szCs w:val="24"/>
        </w:rPr>
        <w:t xml:space="preserve"> tab. </w:t>
      </w:r>
    </w:p>
    <w:p w:rsidR="005E4200" w:rsidRPr="005D67BC" w:rsidRDefault="005E4200" w:rsidP="00DC668B">
      <w:pPr>
        <w:numPr>
          <w:ilvl w:val="0"/>
          <w:numId w:val="7"/>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Check the </w:t>
      </w:r>
      <w:r w:rsidRPr="005D67BC">
        <w:rPr>
          <w:rFonts w:eastAsia="Times New Roman" w:cs="Times New Roman"/>
          <w:b/>
          <w:bCs/>
          <w:sz w:val="24"/>
          <w:szCs w:val="24"/>
        </w:rPr>
        <w:t>Not Budgeting by Position or Role</w:t>
      </w:r>
      <w:r w:rsidRPr="005D67BC">
        <w:rPr>
          <w:rFonts w:eastAsia="Times New Roman" w:cs="Times New Roman"/>
          <w:sz w:val="24"/>
          <w:szCs w:val="24"/>
        </w:rPr>
        <w:t xml:space="preserve"> checkbox. </w:t>
      </w:r>
    </w:p>
    <w:p w:rsidR="005E4200" w:rsidRPr="005D67BC" w:rsidRDefault="005E4200" w:rsidP="00DC668B">
      <w:pPr>
        <w:numPr>
          <w:ilvl w:val="0"/>
          <w:numId w:val="7"/>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In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enter the total number of positions for the Agency for both the first year and second years of the biennium in the </w:t>
      </w:r>
      <w:r w:rsidRPr="005D67BC">
        <w:rPr>
          <w:rFonts w:eastAsia="Times New Roman" w:cs="Times New Roman"/>
          <w:b/>
          <w:bCs/>
          <w:sz w:val="24"/>
          <w:szCs w:val="24"/>
        </w:rPr>
        <w:t>FY 20XX Positions</w:t>
      </w:r>
      <w:r w:rsidRPr="005D67BC">
        <w:rPr>
          <w:rFonts w:eastAsia="Times New Roman" w:cs="Times New Roman"/>
          <w:sz w:val="24"/>
          <w:szCs w:val="24"/>
        </w:rPr>
        <w:t xml:space="preserve"> cells. This is required to be arrayed at the level at which the base budget Targets are set (i.e. Program, Service Area, Fund). </w:t>
      </w:r>
    </w:p>
    <w:p w:rsidR="005E4200" w:rsidRPr="005D67BC" w:rsidRDefault="005E4200" w:rsidP="00DC668B">
      <w:pPr>
        <w:numPr>
          <w:ilvl w:val="0"/>
          <w:numId w:val="7"/>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To specify that positions are vacant for a budget line, check the </w:t>
      </w:r>
      <w:r w:rsidRPr="005D67BC">
        <w:rPr>
          <w:rFonts w:eastAsia="Times New Roman" w:cs="Times New Roman"/>
          <w:b/>
          <w:bCs/>
          <w:sz w:val="24"/>
          <w:szCs w:val="24"/>
        </w:rPr>
        <w:t xml:space="preserve">Vacancy </w:t>
      </w:r>
      <w:r w:rsidRPr="005D67BC">
        <w:rPr>
          <w:rFonts w:eastAsia="Times New Roman" w:cs="Times New Roman"/>
          <w:sz w:val="24"/>
          <w:szCs w:val="24"/>
        </w:rPr>
        <w:t xml:space="preserve">checkbox. </w:t>
      </w:r>
    </w:p>
    <w:p w:rsidR="005E4200" w:rsidRPr="005D67BC" w:rsidRDefault="005E4200" w:rsidP="00DC668B">
      <w:pPr>
        <w:numPr>
          <w:ilvl w:val="0"/>
          <w:numId w:val="7"/>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Add rows to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by clicking the </w:t>
      </w:r>
      <w:r w:rsidRPr="005D67BC">
        <w:rPr>
          <w:rFonts w:eastAsia="Times New Roman" w:cs="Times New Roman"/>
          <w:b/>
          <w:bCs/>
          <w:sz w:val="24"/>
          <w:szCs w:val="24"/>
        </w:rPr>
        <w:t>Add</w:t>
      </w:r>
      <w:r w:rsidRPr="005D67BC">
        <w:rPr>
          <w:rFonts w:eastAsia="Times New Roman" w:cs="Times New Roman"/>
          <w:sz w:val="24"/>
          <w:szCs w:val="24"/>
        </w:rPr>
        <w:t xml:space="preserve"> button in the lower left corner of the grid as needed. </w:t>
      </w:r>
    </w:p>
    <w:p w:rsidR="005E4200" w:rsidRPr="005D67BC" w:rsidRDefault="005E4200" w:rsidP="00DC668B">
      <w:pPr>
        <w:numPr>
          <w:ilvl w:val="0"/>
          <w:numId w:val="7"/>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Authorized positions can also be uploaded from an .</w:t>
      </w:r>
      <w:proofErr w:type="spellStart"/>
      <w:r w:rsidRPr="005D67BC">
        <w:rPr>
          <w:rFonts w:eastAsia="Times New Roman" w:cs="Times New Roman"/>
          <w:sz w:val="24"/>
          <w:szCs w:val="24"/>
        </w:rPr>
        <w:t>xls</w:t>
      </w:r>
      <w:proofErr w:type="spellEnd"/>
      <w:r w:rsidRPr="005D67BC">
        <w:rPr>
          <w:rFonts w:eastAsia="Times New Roman" w:cs="Times New Roman"/>
          <w:sz w:val="24"/>
          <w:szCs w:val="24"/>
        </w:rPr>
        <w:t xml:space="preserve"> file.</w:t>
      </w:r>
    </w:p>
    <w:p w:rsidR="005E4200" w:rsidRPr="005D67BC" w:rsidRDefault="005E4200" w:rsidP="005E4200">
      <w:pPr>
        <w:spacing w:before="100" w:beforeAutospacing="1" w:after="100" w:afterAutospacing="1" w:line="240" w:lineRule="auto"/>
        <w:outlineLvl w:val="3"/>
        <w:rPr>
          <w:rFonts w:eastAsia="Times New Roman" w:cs="Times New Roman"/>
          <w:b/>
          <w:bCs/>
          <w:sz w:val="24"/>
          <w:szCs w:val="24"/>
        </w:rPr>
      </w:pPr>
      <w:r w:rsidRPr="005D67BC">
        <w:rPr>
          <w:rFonts w:eastAsia="Times New Roman" w:cs="Times New Roman"/>
          <w:b/>
          <w:bCs/>
          <w:sz w:val="24"/>
          <w:szCs w:val="24"/>
        </w:rPr>
        <w:lastRenderedPageBreak/>
        <w:t>Position Planning by Role</w:t>
      </w:r>
    </w:p>
    <w:p w:rsidR="005E4200" w:rsidRPr="005D67BC" w:rsidRDefault="005E4200" w:rsidP="005E4200">
      <w:pPr>
        <w:spacing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Use this method if you would like to use the capabilities of the Performance Budgeting System to assist in the calculation of the dollar costs of your agency's authorized position level.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Position Planning</w:t>
      </w:r>
      <w:r w:rsidRPr="005D67BC">
        <w:rPr>
          <w:rFonts w:eastAsia="Times New Roman" w:cs="Times New Roman"/>
          <w:sz w:val="24"/>
          <w:szCs w:val="24"/>
        </w:rPr>
        <w:t xml:space="preserve"> tab.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the </w:t>
      </w:r>
      <w:r w:rsidRPr="005D67BC">
        <w:rPr>
          <w:rFonts w:eastAsia="Times New Roman" w:cs="Times New Roman"/>
          <w:b/>
          <w:bCs/>
          <w:sz w:val="24"/>
          <w:szCs w:val="24"/>
        </w:rPr>
        <w:t>Role</w:t>
      </w:r>
      <w:r w:rsidRPr="005D67BC">
        <w:rPr>
          <w:rFonts w:eastAsia="Times New Roman" w:cs="Times New Roman"/>
          <w:sz w:val="24"/>
          <w:szCs w:val="24"/>
        </w:rPr>
        <w:t xml:space="preserve"> radio button.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(Optional) Click the </w:t>
      </w:r>
      <w:r w:rsidRPr="005D67BC">
        <w:rPr>
          <w:rFonts w:eastAsia="Times New Roman" w:cs="Times New Roman"/>
          <w:b/>
          <w:bCs/>
          <w:sz w:val="24"/>
          <w:szCs w:val="24"/>
        </w:rPr>
        <w:t>Import from HR button</w:t>
      </w:r>
      <w:r w:rsidRPr="005D67BC">
        <w:rPr>
          <w:rFonts w:eastAsia="Times New Roman" w:cs="Times New Roman"/>
          <w:sz w:val="24"/>
          <w:szCs w:val="24"/>
        </w:rPr>
        <w:t xml:space="preserve"> to import HR data for the selected agency into the </w:t>
      </w:r>
      <w:r w:rsidRPr="005D67BC">
        <w:rPr>
          <w:rFonts w:eastAsia="Times New Roman" w:cs="Times New Roman"/>
          <w:b/>
          <w:bCs/>
          <w:sz w:val="24"/>
          <w:szCs w:val="24"/>
        </w:rPr>
        <w:t>Imported HR Data</w:t>
      </w:r>
      <w:r w:rsidRPr="005D67BC">
        <w:rPr>
          <w:rFonts w:eastAsia="Times New Roman" w:cs="Times New Roman"/>
          <w:sz w:val="24"/>
          <w:szCs w:val="24"/>
        </w:rPr>
        <w:t xml:space="preserve"> grid.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(Optional)</w:t>
      </w:r>
      <w:r w:rsidR="002269A5">
        <w:rPr>
          <w:rFonts w:eastAsia="Times New Roman" w:cs="Times New Roman"/>
          <w:sz w:val="24"/>
          <w:szCs w:val="24"/>
        </w:rPr>
        <w:t xml:space="preserve"> </w:t>
      </w:r>
      <w:r w:rsidRPr="005D67BC">
        <w:rPr>
          <w:rFonts w:eastAsia="Times New Roman" w:cs="Times New Roman"/>
          <w:sz w:val="24"/>
          <w:szCs w:val="24"/>
        </w:rPr>
        <w:t xml:space="preserve">Review the imported HR data in the </w:t>
      </w:r>
      <w:r w:rsidRPr="005D67BC">
        <w:rPr>
          <w:rFonts w:eastAsia="Times New Roman" w:cs="Times New Roman"/>
          <w:b/>
          <w:bCs/>
          <w:sz w:val="24"/>
          <w:szCs w:val="24"/>
        </w:rPr>
        <w:t>Imported HR Data</w:t>
      </w:r>
      <w:r w:rsidRPr="005D67BC">
        <w:rPr>
          <w:rFonts w:eastAsia="Times New Roman" w:cs="Times New Roman"/>
          <w:sz w:val="24"/>
          <w:szCs w:val="24"/>
        </w:rPr>
        <w:t xml:space="preserve"> grid, and uncheck the </w:t>
      </w:r>
      <w:r w:rsidRPr="005D67BC">
        <w:rPr>
          <w:rFonts w:eastAsia="Times New Roman" w:cs="Times New Roman"/>
          <w:b/>
          <w:bCs/>
          <w:sz w:val="24"/>
          <w:szCs w:val="24"/>
        </w:rPr>
        <w:t>Include?</w:t>
      </w:r>
      <w:r w:rsidRPr="005D67BC">
        <w:rPr>
          <w:rFonts w:eastAsia="Times New Roman" w:cs="Times New Roman"/>
          <w:sz w:val="24"/>
          <w:szCs w:val="24"/>
        </w:rPr>
        <w:t xml:space="preserve"> </w:t>
      </w:r>
      <w:proofErr w:type="gramStart"/>
      <w:r w:rsidRPr="005D67BC">
        <w:rPr>
          <w:rFonts w:eastAsia="Times New Roman" w:cs="Times New Roman"/>
          <w:sz w:val="24"/>
          <w:szCs w:val="24"/>
        </w:rPr>
        <w:t>checkbox</w:t>
      </w:r>
      <w:proofErr w:type="gramEnd"/>
      <w:r w:rsidRPr="005D67BC">
        <w:rPr>
          <w:rFonts w:eastAsia="Times New Roman" w:cs="Times New Roman"/>
          <w:sz w:val="24"/>
          <w:szCs w:val="24"/>
        </w:rPr>
        <w:t xml:space="preserve"> if you would like to omit a line of data during the copy of data into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(Optional) Click the </w:t>
      </w:r>
      <w:r w:rsidRPr="005D67BC">
        <w:rPr>
          <w:rFonts w:eastAsia="Times New Roman" w:cs="Times New Roman"/>
          <w:b/>
          <w:bCs/>
          <w:sz w:val="24"/>
          <w:szCs w:val="24"/>
        </w:rPr>
        <w:t>Copy HR Data button</w:t>
      </w:r>
      <w:r w:rsidRPr="005D67BC">
        <w:rPr>
          <w:rFonts w:eastAsia="Times New Roman" w:cs="Times New Roman"/>
          <w:sz w:val="24"/>
          <w:szCs w:val="24"/>
        </w:rPr>
        <w:t xml:space="preserve"> to copy the data from the </w:t>
      </w:r>
      <w:r w:rsidRPr="005D67BC">
        <w:rPr>
          <w:rFonts w:eastAsia="Times New Roman" w:cs="Times New Roman"/>
          <w:b/>
          <w:bCs/>
          <w:sz w:val="24"/>
          <w:szCs w:val="24"/>
        </w:rPr>
        <w:t>Imported HR Data</w:t>
      </w:r>
      <w:r w:rsidRPr="005D67BC">
        <w:rPr>
          <w:rFonts w:eastAsia="Times New Roman" w:cs="Times New Roman"/>
          <w:sz w:val="24"/>
          <w:szCs w:val="24"/>
        </w:rPr>
        <w:t xml:space="preserve"> grid to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In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 </w:t>
      </w:r>
      <w:r w:rsidRPr="005D67BC">
        <w:rPr>
          <w:rFonts w:eastAsia="Times New Roman" w:cs="Times New Roman"/>
          <w:b/>
          <w:bCs/>
          <w:sz w:val="24"/>
          <w:szCs w:val="24"/>
        </w:rPr>
        <w:t>Program</w:t>
      </w:r>
      <w:r w:rsidRPr="005D67BC">
        <w:rPr>
          <w:rFonts w:eastAsia="Times New Roman" w:cs="Times New Roman"/>
          <w:sz w:val="24"/>
          <w:szCs w:val="24"/>
        </w:rPr>
        <w:t xml:space="preserve">, </w:t>
      </w:r>
      <w:r w:rsidRPr="005D67BC">
        <w:rPr>
          <w:rFonts w:eastAsia="Times New Roman" w:cs="Times New Roman"/>
          <w:b/>
          <w:bCs/>
          <w:sz w:val="24"/>
          <w:szCs w:val="24"/>
        </w:rPr>
        <w:t>Fund</w:t>
      </w:r>
      <w:r w:rsidRPr="005D67BC">
        <w:rPr>
          <w:rFonts w:eastAsia="Times New Roman" w:cs="Times New Roman"/>
          <w:sz w:val="24"/>
          <w:szCs w:val="24"/>
        </w:rPr>
        <w:t xml:space="preserve">, and </w:t>
      </w:r>
      <w:r w:rsidRPr="005D67BC">
        <w:rPr>
          <w:rFonts w:eastAsia="Times New Roman" w:cs="Times New Roman"/>
          <w:b/>
          <w:bCs/>
          <w:sz w:val="24"/>
          <w:szCs w:val="24"/>
        </w:rPr>
        <w:t>Subobject</w:t>
      </w:r>
      <w:r w:rsidRPr="005D67BC">
        <w:rPr>
          <w:rFonts w:eastAsia="Times New Roman" w:cs="Times New Roman"/>
          <w:sz w:val="24"/>
          <w:szCs w:val="24"/>
        </w:rPr>
        <w:t xml:space="preserve"> for a role. Additionally, if applicable for the role, enter the </w:t>
      </w:r>
      <w:r w:rsidRPr="005D67BC">
        <w:rPr>
          <w:rFonts w:eastAsia="Times New Roman" w:cs="Times New Roman"/>
          <w:b/>
          <w:bCs/>
          <w:sz w:val="24"/>
          <w:szCs w:val="24"/>
        </w:rPr>
        <w:t>Cost Code</w:t>
      </w:r>
      <w:r w:rsidRPr="005D67BC">
        <w:rPr>
          <w:rFonts w:eastAsia="Times New Roman" w:cs="Times New Roman"/>
          <w:sz w:val="24"/>
          <w:szCs w:val="24"/>
        </w:rPr>
        <w:t xml:space="preserve"> and/or </w:t>
      </w:r>
      <w:r w:rsidRPr="005D67BC">
        <w:rPr>
          <w:rFonts w:eastAsia="Times New Roman" w:cs="Times New Roman"/>
          <w:b/>
          <w:bCs/>
          <w:sz w:val="24"/>
          <w:szCs w:val="24"/>
        </w:rPr>
        <w:t>Project Code</w:t>
      </w:r>
      <w:r w:rsidRPr="005D67BC">
        <w:rPr>
          <w:rFonts w:eastAsia="Times New Roman" w:cs="Times New Roman"/>
          <w:sz w:val="24"/>
          <w:szCs w:val="24"/>
        </w:rPr>
        <w:t xml:space="preserve">.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or edit the </w:t>
      </w:r>
      <w:r w:rsidRPr="005D67BC">
        <w:rPr>
          <w:rFonts w:eastAsia="Times New Roman" w:cs="Times New Roman"/>
          <w:b/>
          <w:bCs/>
          <w:sz w:val="24"/>
          <w:szCs w:val="24"/>
        </w:rPr>
        <w:t>Role</w:t>
      </w:r>
      <w:r w:rsidRPr="005D67BC">
        <w:rPr>
          <w:rFonts w:eastAsia="Times New Roman" w:cs="Times New Roman"/>
          <w:sz w:val="24"/>
          <w:szCs w:val="24"/>
        </w:rPr>
        <w:t xml:space="preserve">. </w:t>
      </w:r>
    </w:p>
    <w:p w:rsidR="005E4200" w:rsidRPr="005D67BC" w:rsidRDefault="005E4200" w:rsidP="005E4200">
      <w:pPr>
        <w:spacing w:before="100" w:beforeAutospacing="1" w:after="100" w:afterAutospacing="1" w:line="240" w:lineRule="auto"/>
        <w:ind w:left="720"/>
        <w:rPr>
          <w:rFonts w:eastAsia="Times New Roman" w:cs="Times New Roman"/>
          <w:sz w:val="24"/>
          <w:szCs w:val="24"/>
        </w:rPr>
      </w:pPr>
      <w:r w:rsidRPr="005D67BC">
        <w:rPr>
          <w:rFonts w:eastAsia="Times New Roman" w:cs="Times New Roman"/>
          <w:sz w:val="24"/>
          <w:szCs w:val="24"/>
        </w:rPr>
        <w:t>Enter the proper role title for the position you are requesting. Please contact the Department of Human Resource Management (DHRM), the DHRM website, or your agency human resource department for this proper role title.</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 </w:t>
      </w:r>
      <w:r w:rsidRPr="005D67BC">
        <w:rPr>
          <w:rFonts w:eastAsia="Times New Roman" w:cs="Times New Roman"/>
          <w:b/>
          <w:bCs/>
          <w:sz w:val="24"/>
          <w:szCs w:val="24"/>
        </w:rPr>
        <w:t>Salary</w:t>
      </w:r>
      <w:r w:rsidRPr="005D67BC">
        <w:rPr>
          <w:rFonts w:eastAsia="Times New Roman" w:cs="Times New Roman"/>
          <w:sz w:val="24"/>
          <w:szCs w:val="24"/>
        </w:rPr>
        <w:t xml:space="preserve"> for the selected role. </w:t>
      </w:r>
    </w:p>
    <w:p w:rsidR="005E4200" w:rsidRPr="005D67BC" w:rsidRDefault="005E4200" w:rsidP="00096FB9">
      <w:pPr>
        <w:spacing w:before="100" w:beforeAutospacing="1" w:after="100" w:afterAutospacing="1" w:line="240" w:lineRule="auto"/>
        <w:ind w:left="720"/>
        <w:rPr>
          <w:rFonts w:eastAsia="Times New Roman" w:cs="Times New Roman"/>
          <w:sz w:val="24"/>
          <w:szCs w:val="24"/>
        </w:rPr>
      </w:pPr>
      <w:r w:rsidRPr="005D67BC">
        <w:rPr>
          <w:rFonts w:eastAsia="Times New Roman" w:cs="Times New Roman"/>
          <w:sz w:val="24"/>
          <w:szCs w:val="24"/>
        </w:rPr>
        <w:t>Enter the base salary for the position being requested. Do not include any benefit amounts. The requested amount must be within salary range and should be based on starting salaries for recent hires in this role.</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or edit the </w:t>
      </w:r>
      <w:r w:rsidRPr="005D67BC">
        <w:rPr>
          <w:rFonts w:eastAsia="Times New Roman" w:cs="Times New Roman"/>
          <w:b/>
          <w:bCs/>
          <w:sz w:val="24"/>
          <w:szCs w:val="24"/>
        </w:rPr>
        <w:t>Health Insurance</w:t>
      </w:r>
      <w:r w:rsidRPr="005D67BC">
        <w:rPr>
          <w:rFonts w:eastAsia="Times New Roman" w:cs="Times New Roman"/>
          <w:sz w:val="24"/>
          <w:szCs w:val="24"/>
        </w:rPr>
        <w:t xml:space="preserve"> for the role. </w:t>
      </w:r>
    </w:p>
    <w:p w:rsidR="005E4200" w:rsidRPr="005D67BC" w:rsidRDefault="005E4200" w:rsidP="005E4200">
      <w:pPr>
        <w:spacing w:before="100" w:beforeAutospacing="1" w:after="100" w:afterAutospacing="1" w:line="240" w:lineRule="auto"/>
        <w:ind w:left="720"/>
        <w:rPr>
          <w:rFonts w:eastAsia="Times New Roman" w:cs="Times New Roman"/>
          <w:sz w:val="24"/>
          <w:szCs w:val="24"/>
        </w:rPr>
      </w:pPr>
      <w:r w:rsidRPr="005D67BC">
        <w:rPr>
          <w:rFonts w:eastAsia="Times New Roman" w:cs="Times New Roman"/>
          <w:sz w:val="24"/>
          <w:szCs w:val="24"/>
        </w:rPr>
        <w:t>Select a health premium. You can select the statewide average, or the actual employers premium for single, employee plus one, and family coverage.</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or edit the </w:t>
      </w:r>
      <w:r w:rsidRPr="005D67BC">
        <w:rPr>
          <w:rFonts w:eastAsia="Times New Roman" w:cs="Times New Roman"/>
          <w:b/>
          <w:bCs/>
          <w:sz w:val="24"/>
          <w:szCs w:val="24"/>
        </w:rPr>
        <w:t>Retirement</w:t>
      </w:r>
      <w:r w:rsidRPr="005D67BC">
        <w:rPr>
          <w:rFonts w:eastAsia="Times New Roman" w:cs="Times New Roman"/>
          <w:sz w:val="24"/>
          <w:szCs w:val="24"/>
        </w:rPr>
        <w:t xml:space="preserve"> for the role. </w:t>
      </w:r>
    </w:p>
    <w:p w:rsidR="005E4200" w:rsidRPr="005D67BC" w:rsidRDefault="005E4200" w:rsidP="005E4200">
      <w:pPr>
        <w:spacing w:before="100" w:beforeAutospacing="1" w:after="100" w:afterAutospacing="1" w:line="240" w:lineRule="auto"/>
        <w:ind w:left="720"/>
        <w:rPr>
          <w:rFonts w:eastAsia="Times New Roman" w:cs="Times New Roman"/>
          <w:sz w:val="24"/>
          <w:szCs w:val="24"/>
        </w:rPr>
      </w:pPr>
      <w:r w:rsidRPr="005D67BC">
        <w:rPr>
          <w:rFonts w:eastAsia="Times New Roman" w:cs="Times New Roman"/>
          <w:sz w:val="24"/>
          <w:szCs w:val="24"/>
        </w:rPr>
        <w:t xml:space="preserve">Select the retirement type for the position: regular VRS, </w:t>
      </w:r>
      <w:proofErr w:type="spellStart"/>
      <w:r w:rsidRPr="005D67BC">
        <w:rPr>
          <w:rFonts w:eastAsia="Times New Roman" w:cs="Times New Roman"/>
          <w:sz w:val="24"/>
          <w:szCs w:val="24"/>
        </w:rPr>
        <w:t>VaLORS</w:t>
      </w:r>
      <w:proofErr w:type="spellEnd"/>
      <w:r w:rsidRPr="005D67BC">
        <w:rPr>
          <w:rFonts w:eastAsia="Times New Roman" w:cs="Times New Roman"/>
          <w:sz w:val="24"/>
          <w:szCs w:val="24"/>
        </w:rPr>
        <w:t>, SPORS, judges' retirement, or defined contribution.</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 number of pay periods for the role for the first year of the biennium in the FY 20XX </w:t>
      </w:r>
      <w:r w:rsidRPr="005D67BC">
        <w:rPr>
          <w:rFonts w:eastAsia="Times New Roman" w:cs="Times New Roman"/>
          <w:b/>
          <w:bCs/>
          <w:sz w:val="24"/>
          <w:szCs w:val="24"/>
        </w:rPr>
        <w:t>Pay Periods</w:t>
      </w:r>
      <w:r w:rsidRPr="005D67BC">
        <w:rPr>
          <w:rFonts w:eastAsia="Times New Roman" w:cs="Times New Roman"/>
          <w:sz w:val="24"/>
          <w:szCs w:val="24"/>
        </w:rPr>
        <w:t xml:space="preserve"> cell if the role is valid for the first year of the biennium.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 number of positions allocated to the specified role for the first year of the biennium in the </w:t>
      </w:r>
      <w:r w:rsidRPr="005D67BC">
        <w:rPr>
          <w:rFonts w:eastAsia="Times New Roman" w:cs="Times New Roman"/>
          <w:b/>
          <w:bCs/>
          <w:sz w:val="24"/>
          <w:szCs w:val="24"/>
        </w:rPr>
        <w:t>FY 20XX Positions</w:t>
      </w:r>
      <w:r w:rsidRPr="005D67BC">
        <w:rPr>
          <w:rFonts w:eastAsia="Times New Roman" w:cs="Times New Roman"/>
          <w:sz w:val="24"/>
          <w:szCs w:val="24"/>
        </w:rPr>
        <w:t xml:space="preserve"> cell if the role is valid for the first year of the biennium.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 </w:t>
      </w:r>
      <w:r w:rsidRPr="005D67BC">
        <w:rPr>
          <w:rFonts w:eastAsia="Times New Roman" w:cs="Times New Roman"/>
          <w:b/>
          <w:bCs/>
          <w:sz w:val="24"/>
          <w:szCs w:val="24"/>
        </w:rPr>
        <w:t xml:space="preserve">FY 20XX Pay Periods </w:t>
      </w:r>
      <w:r w:rsidRPr="005D67BC">
        <w:rPr>
          <w:rFonts w:eastAsia="Times New Roman" w:cs="Times New Roman"/>
          <w:sz w:val="24"/>
          <w:szCs w:val="24"/>
        </w:rPr>
        <w:t>and</w:t>
      </w:r>
      <w:r w:rsidRPr="005D67BC">
        <w:rPr>
          <w:rFonts w:eastAsia="Times New Roman" w:cs="Times New Roman"/>
          <w:b/>
          <w:bCs/>
          <w:sz w:val="24"/>
          <w:szCs w:val="24"/>
        </w:rPr>
        <w:t xml:space="preserve"> FY 20XX Positions</w:t>
      </w:r>
      <w:r w:rsidRPr="005D67BC">
        <w:rPr>
          <w:rFonts w:eastAsia="Times New Roman" w:cs="Times New Roman"/>
          <w:sz w:val="24"/>
          <w:szCs w:val="24"/>
        </w:rPr>
        <w:t xml:space="preserve">, where 20XX is the second year of the biennium. Data will only be entered for the second year of the biennium if the role is valid for the second year of the biennium.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lastRenderedPageBreak/>
        <w:t xml:space="preserve">Add rows to the </w:t>
      </w:r>
      <w:r w:rsidRPr="005D67BC">
        <w:rPr>
          <w:rFonts w:eastAsia="Times New Roman" w:cs="Times New Roman"/>
          <w:b/>
          <w:bCs/>
          <w:sz w:val="24"/>
          <w:szCs w:val="24"/>
        </w:rPr>
        <w:t>Position Planning grid</w:t>
      </w:r>
      <w:r w:rsidRPr="005D67BC">
        <w:rPr>
          <w:rFonts w:eastAsia="Times New Roman" w:cs="Times New Roman"/>
          <w:sz w:val="24"/>
          <w:szCs w:val="24"/>
        </w:rPr>
        <w:t xml:space="preserve">, by clicking the </w:t>
      </w:r>
      <w:r w:rsidRPr="005D67BC">
        <w:rPr>
          <w:rFonts w:eastAsia="Times New Roman" w:cs="Times New Roman"/>
          <w:b/>
          <w:bCs/>
          <w:sz w:val="24"/>
          <w:szCs w:val="24"/>
        </w:rPr>
        <w:t>Add</w:t>
      </w:r>
      <w:r w:rsidRPr="005D67BC">
        <w:rPr>
          <w:rFonts w:eastAsia="Times New Roman" w:cs="Times New Roman"/>
          <w:sz w:val="24"/>
          <w:szCs w:val="24"/>
        </w:rPr>
        <w:t xml:space="preserve"> button in the lower left corner of the grid as needed.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Once all roles have been added to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click the </w:t>
      </w:r>
      <w:r w:rsidRPr="005D67BC">
        <w:rPr>
          <w:rFonts w:eastAsia="Times New Roman" w:cs="Times New Roman"/>
          <w:b/>
          <w:bCs/>
          <w:sz w:val="24"/>
          <w:szCs w:val="24"/>
        </w:rPr>
        <w:t>Calculate</w:t>
      </w:r>
      <w:r w:rsidRPr="005D67BC">
        <w:rPr>
          <w:rFonts w:eastAsia="Times New Roman" w:cs="Times New Roman"/>
          <w:sz w:val="24"/>
          <w:szCs w:val="24"/>
        </w:rPr>
        <w:t xml:space="preserve"> button to calculate the budget for both years of the biennium for the specified roles. This calculation is based upon the data entered for each role.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Confirm the calculation of the budget for both the first and second years of the biennium </w:t>
      </w:r>
      <w:r w:rsidRPr="005D67BC">
        <w:rPr>
          <w:rFonts w:eastAsia="Times New Roman" w:cs="Times New Roman"/>
          <w:b/>
          <w:bCs/>
          <w:sz w:val="24"/>
          <w:szCs w:val="24"/>
        </w:rPr>
        <w:t>FY 20XX Budget</w:t>
      </w:r>
      <w:r w:rsidRPr="005D67BC">
        <w:rPr>
          <w:rFonts w:eastAsia="Times New Roman" w:cs="Times New Roman"/>
          <w:sz w:val="24"/>
          <w:szCs w:val="24"/>
        </w:rPr>
        <w:t xml:space="preserve">. If the amounts are not correct, edit the values entered for a role and recalculate the budget for that role. </w:t>
      </w:r>
    </w:p>
    <w:p w:rsidR="005E4200" w:rsidRPr="005D67BC" w:rsidRDefault="005E4200" w:rsidP="00DC668B">
      <w:pPr>
        <w:numPr>
          <w:ilvl w:val="0"/>
          <w:numId w:val="8"/>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Once the budget for both years of the biennium for each role is satisfactory, click the </w:t>
      </w:r>
      <w:r w:rsidRPr="005D67BC">
        <w:rPr>
          <w:rFonts w:eastAsia="Times New Roman" w:cs="Times New Roman"/>
          <w:b/>
          <w:bCs/>
          <w:sz w:val="24"/>
          <w:szCs w:val="24"/>
        </w:rPr>
        <w:t>Populate Total Services</w:t>
      </w:r>
      <w:r w:rsidRPr="005D67BC">
        <w:rPr>
          <w:rFonts w:eastAsia="Times New Roman" w:cs="Times New Roman"/>
          <w:sz w:val="24"/>
          <w:szCs w:val="24"/>
        </w:rPr>
        <w:t xml:space="preserve"> button to calculate the personal services budget for the </w:t>
      </w:r>
      <w:r w:rsidRPr="005D67BC">
        <w:rPr>
          <w:rFonts w:eastAsia="Times New Roman" w:cs="Times New Roman"/>
          <w:b/>
          <w:bCs/>
          <w:sz w:val="24"/>
          <w:szCs w:val="24"/>
        </w:rPr>
        <w:t>Budget Details</w:t>
      </w:r>
      <w:r w:rsidRPr="005D67BC">
        <w:rPr>
          <w:rFonts w:eastAsia="Times New Roman" w:cs="Times New Roman"/>
          <w:sz w:val="24"/>
          <w:szCs w:val="24"/>
        </w:rPr>
        <w:t xml:space="preserve"> tab based upon the data entered in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w:t>
      </w:r>
    </w:p>
    <w:p w:rsidR="005E4200" w:rsidRPr="005D67BC" w:rsidRDefault="005E4200" w:rsidP="005E4200">
      <w:pPr>
        <w:spacing w:before="100" w:beforeAutospacing="1" w:after="100" w:afterAutospacing="1" w:line="240" w:lineRule="auto"/>
        <w:outlineLvl w:val="3"/>
        <w:rPr>
          <w:rFonts w:eastAsia="Times New Roman" w:cs="Times New Roman"/>
          <w:b/>
          <w:bCs/>
          <w:sz w:val="24"/>
          <w:szCs w:val="24"/>
        </w:rPr>
      </w:pPr>
      <w:r w:rsidRPr="005D67BC">
        <w:rPr>
          <w:rFonts w:eastAsia="Times New Roman" w:cs="Times New Roman"/>
          <w:b/>
          <w:bCs/>
          <w:sz w:val="24"/>
          <w:szCs w:val="24"/>
        </w:rPr>
        <w:t>Position Planning by Position</w:t>
      </w:r>
    </w:p>
    <w:p w:rsidR="005E4200" w:rsidRPr="005D67BC" w:rsidRDefault="005E4200" w:rsidP="005E4200">
      <w:pPr>
        <w:spacing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Use this method if you would like to use the capabilities of the Performance Budgeting System to assist in the calculation of the dollar costs of your agency's authorized position level.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Position Planning</w:t>
      </w:r>
      <w:r w:rsidRPr="005D67BC">
        <w:rPr>
          <w:rFonts w:eastAsia="Times New Roman" w:cs="Times New Roman"/>
          <w:sz w:val="24"/>
          <w:szCs w:val="24"/>
        </w:rPr>
        <w:t xml:space="preserve"> tab.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the </w:t>
      </w:r>
      <w:r w:rsidRPr="005D67BC">
        <w:rPr>
          <w:rFonts w:eastAsia="Times New Roman" w:cs="Times New Roman"/>
          <w:b/>
          <w:bCs/>
          <w:sz w:val="24"/>
          <w:szCs w:val="24"/>
        </w:rPr>
        <w:t>Position</w:t>
      </w:r>
      <w:r w:rsidRPr="005D67BC">
        <w:rPr>
          <w:rFonts w:eastAsia="Times New Roman" w:cs="Times New Roman"/>
          <w:sz w:val="24"/>
          <w:szCs w:val="24"/>
        </w:rPr>
        <w:t xml:space="preserve"> radio button.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(Optional) Click the </w:t>
      </w:r>
      <w:r w:rsidRPr="005D67BC">
        <w:rPr>
          <w:rFonts w:eastAsia="Times New Roman" w:cs="Times New Roman"/>
          <w:b/>
          <w:bCs/>
          <w:sz w:val="24"/>
          <w:szCs w:val="24"/>
        </w:rPr>
        <w:t>Import from HR button</w:t>
      </w:r>
      <w:r w:rsidRPr="005D67BC">
        <w:rPr>
          <w:rFonts w:eastAsia="Times New Roman" w:cs="Times New Roman"/>
          <w:sz w:val="24"/>
          <w:szCs w:val="24"/>
        </w:rPr>
        <w:t xml:space="preserve"> to import HR data for the selected agency into the </w:t>
      </w:r>
      <w:r w:rsidRPr="005D67BC">
        <w:rPr>
          <w:rFonts w:eastAsia="Times New Roman" w:cs="Times New Roman"/>
          <w:b/>
          <w:bCs/>
          <w:sz w:val="24"/>
          <w:szCs w:val="24"/>
        </w:rPr>
        <w:t>Imported HR Data</w:t>
      </w:r>
      <w:r w:rsidRPr="005D67BC">
        <w:rPr>
          <w:rFonts w:eastAsia="Times New Roman" w:cs="Times New Roman"/>
          <w:sz w:val="24"/>
          <w:szCs w:val="24"/>
        </w:rPr>
        <w:t xml:space="preserve"> grid.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(Optional)</w:t>
      </w:r>
      <w:r w:rsidR="002269A5">
        <w:rPr>
          <w:rFonts w:eastAsia="Times New Roman" w:cs="Times New Roman"/>
          <w:sz w:val="24"/>
          <w:szCs w:val="24"/>
        </w:rPr>
        <w:t xml:space="preserve"> </w:t>
      </w:r>
      <w:r w:rsidRPr="005D67BC">
        <w:rPr>
          <w:rFonts w:eastAsia="Times New Roman" w:cs="Times New Roman"/>
          <w:sz w:val="24"/>
          <w:szCs w:val="24"/>
        </w:rPr>
        <w:t xml:space="preserve">Review the imported HR data in the </w:t>
      </w:r>
      <w:r w:rsidRPr="005D67BC">
        <w:rPr>
          <w:rFonts w:eastAsia="Times New Roman" w:cs="Times New Roman"/>
          <w:b/>
          <w:bCs/>
          <w:sz w:val="24"/>
          <w:szCs w:val="24"/>
        </w:rPr>
        <w:t>Imported HR Data</w:t>
      </w:r>
      <w:r w:rsidRPr="005D67BC">
        <w:rPr>
          <w:rFonts w:eastAsia="Times New Roman" w:cs="Times New Roman"/>
          <w:sz w:val="24"/>
          <w:szCs w:val="24"/>
        </w:rPr>
        <w:t xml:space="preserve"> grid, and uncheck the </w:t>
      </w:r>
      <w:r w:rsidRPr="005D67BC">
        <w:rPr>
          <w:rFonts w:eastAsia="Times New Roman" w:cs="Times New Roman"/>
          <w:b/>
          <w:bCs/>
          <w:sz w:val="24"/>
          <w:szCs w:val="24"/>
        </w:rPr>
        <w:t>Include?</w:t>
      </w:r>
      <w:r w:rsidRPr="005D67BC">
        <w:rPr>
          <w:rFonts w:eastAsia="Times New Roman" w:cs="Times New Roman"/>
          <w:sz w:val="24"/>
          <w:szCs w:val="24"/>
        </w:rPr>
        <w:t xml:space="preserve"> </w:t>
      </w:r>
      <w:proofErr w:type="gramStart"/>
      <w:r w:rsidRPr="005D67BC">
        <w:rPr>
          <w:rFonts w:eastAsia="Times New Roman" w:cs="Times New Roman"/>
          <w:sz w:val="24"/>
          <w:szCs w:val="24"/>
        </w:rPr>
        <w:t>checkbox</w:t>
      </w:r>
      <w:proofErr w:type="gramEnd"/>
      <w:r w:rsidRPr="005D67BC">
        <w:rPr>
          <w:rFonts w:eastAsia="Times New Roman" w:cs="Times New Roman"/>
          <w:sz w:val="24"/>
          <w:szCs w:val="24"/>
        </w:rPr>
        <w:t xml:space="preserve"> if you would like to omit a line of data during the copy of data into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(Optional) Click the </w:t>
      </w:r>
      <w:r w:rsidRPr="005D67BC">
        <w:rPr>
          <w:rFonts w:eastAsia="Times New Roman" w:cs="Times New Roman"/>
          <w:b/>
          <w:bCs/>
          <w:sz w:val="24"/>
          <w:szCs w:val="24"/>
        </w:rPr>
        <w:t>Copy HR Data</w:t>
      </w:r>
      <w:r w:rsidRPr="005D67BC">
        <w:rPr>
          <w:rFonts w:eastAsia="Times New Roman" w:cs="Times New Roman"/>
          <w:sz w:val="24"/>
          <w:szCs w:val="24"/>
        </w:rPr>
        <w:t xml:space="preserve"> button to copy the data from the </w:t>
      </w:r>
      <w:r w:rsidRPr="005D67BC">
        <w:rPr>
          <w:rFonts w:eastAsia="Times New Roman" w:cs="Times New Roman"/>
          <w:b/>
          <w:bCs/>
          <w:sz w:val="24"/>
          <w:szCs w:val="24"/>
        </w:rPr>
        <w:t>Imported HR Data</w:t>
      </w:r>
      <w:r w:rsidRPr="005D67BC">
        <w:rPr>
          <w:rFonts w:eastAsia="Times New Roman" w:cs="Times New Roman"/>
          <w:sz w:val="24"/>
          <w:szCs w:val="24"/>
        </w:rPr>
        <w:t xml:space="preserve"> grid to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In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 </w:t>
      </w:r>
      <w:r w:rsidRPr="005D67BC">
        <w:rPr>
          <w:rFonts w:eastAsia="Times New Roman" w:cs="Times New Roman"/>
          <w:b/>
          <w:bCs/>
          <w:sz w:val="24"/>
          <w:szCs w:val="24"/>
        </w:rPr>
        <w:t>Program</w:t>
      </w:r>
      <w:r w:rsidRPr="005D67BC">
        <w:rPr>
          <w:rFonts w:eastAsia="Times New Roman" w:cs="Times New Roman"/>
          <w:sz w:val="24"/>
          <w:szCs w:val="24"/>
        </w:rPr>
        <w:t xml:space="preserve">, </w:t>
      </w:r>
      <w:r w:rsidRPr="005D67BC">
        <w:rPr>
          <w:rFonts w:eastAsia="Times New Roman" w:cs="Times New Roman"/>
          <w:b/>
          <w:bCs/>
          <w:sz w:val="24"/>
          <w:szCs w:val="24"/>
        </w:rPr>
        <w:t>Fund</w:t>
      </w:r>
      <w:r w:rsidRPr="005D67BC">
        <w:rPr>
          <w:rFonts w:eastAsia="Times New Roman" w:cs="Times New Roman"/>
          <w:sz w:val="24"/>
          <w:szCs w:val="24"/>
        </w:rPr>
        <w:t xml:space="preserve">, and </w:t>
      </w:r>
      <w:r w:rsidRPr="005D67BC">
        <w:rPr>
          <w:rFonts w:eastAsia="Times New Roman" w:cs="Times New Roman"/>
          <w:b/>
          <w:bCs/>
          <w:sz w:val="24"/>
          <w:szCs w:val="24"/>
        </w:rPr>
        <w:t>Subobject</w:t>
      </w:r>
      <w:r w:rsidRPr="005D67BC">
        <w:rPr>
          <w:rFonts w:eastAsia="Times New Roman" w:cs="Times New Roman"/>
          <w:sz w:val="24"/>
          <w:szCs w:val="24"/>
        </w:rPr>
        <w:t xml:space="preserve"> for the role. Additionally, if applicable for the position, enter the </w:t>
      </w:r>
      <w:r w:rsidRPr="005D67BC">
        <w:rPr>
          <w:rFonts w:eastAsia="Times New Roman" w:cs="Times New Roman"/>
          <w:b/>
          <w:bCs/>
          <w:sz w:val="24"/>
          <w:szCs w:val="24"/>
        </w:rPr>
        <w:t>Cost Code</w:t>
      </w:r>
      <w:r w:rsidRPr="005D67BC">
        <w:rPr>
          <w:rFonts w:eastAsia="Times New Roman" w:cs="Times New Roman"/>
          <w:sz w:val="24"/>
          <w:szCs w:val="24"/>
        </w:rPr>
        <w:t xml:space="preserve"> and/or </w:t>
      </w:r>
      <w:r w:rsidRPr="005D67BC">
        <w:rPr>
          <w:rFonts w:eastAsia="Times New Roman" w:cs="Times New Roman"/>
          <w:b/>
          <w:bCs/>
          <w:sz w:val="24"/>
          <w:szCs w:val="24"/>
        </w:rPr>
        <w:t>Project Code</w:t>
      </w:r>
      <w:r w:rsidRPr="005D67BC">
        <w:rPr>
          <w:rFonts w:eastAsia="Times New Roman" w:cs="Times New Roman"/>
          <w:sz w:val="24"/>
          <w:szCs w:val="24"/>
        </w:rPr>
        <w:t xml:space="preserve">.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 </w:t>
      </w:r>
      <w:r w:rsidRPr="005D67BC">
        <w:rPr>
          <w:rFonts w:eastAsia="Times New Roman" w:cs="Times New Roman"/>
          <w:b/>
          <w:bCs/>
          <w:sz w:val="24"/>
          <w:szCs w:val="24"/>
        </w:rPr>
        <w:t>Position</w:t>
      </w:r>
      <w:r w:rsidRPr="005D67BC">
        <w:rPr>
          <w:rFonts w:eastAsia="Times New Roman" w:cs="Times New Roman"/>
          <w:sz w:val="24"/>
          <w:szCs w:val="24"/>
        </w:rPr>
        <w:t xml:space="preserve"> Title. </w:t>
      </w:r>
    </w:p>
    <w:p w:rsidR="005E4200" w:rsidRPr="005D67BC" w:rsidRDefault="005E4200" w:rsidP="005E4200">
      <w:pPr>
        <w:spacing w:before="100" w:beforeAutospacing="1" w:after="100" w:afterAutospacing="1" w:line="240" w:lineRule="auto"/>
        <w:ind w:left="720"/>
        <w:rPr>
          <w:rFonts w:eastAsia="Times New Roman" w:cs="Times New Roman"/>
          <w:sz w:val="24"/>
          <w:szCs w:val="24"/>
        </w:rPr>
      </w:pPr>
      <w:r w:rsidRPr="005D67BC">
        <w:rPr>
          <w:rFonts w:eastAsia="Times New Roman" w:cs="Times New Roman"/>
          <w:sz w:val="24"/>
          <w:szCs w:val="24"/>
        </w:rPr>
        <w:t xml:space="preserve">Enter the proper position title for the position you are requesting. Please contact the Department of Human Resource Management (DHRM), the DHRM website, or your agency human resource department for this proper title.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w:t>
      </w:r>
      <w:r w:rsidRPr="005D67BC">
        <w:rPr>
          <w:rFonts w:eastAsia="Times New Roman" w:cs="Times New Roman"/>
          <w:b/>
          <w:bCs/>
          <w:sz w:val="24"/>
          <w:szCs w:val="24"/>
        </w:rPr>
        <w:t xml:space="preserve"> Salary</w:t>
      </w:r>
      <w:r w:rsidRPr="005D67BC">
        <w:rPr>
          <w:rFonts w:eastAsia="Times New Roman" w:cs="Times New Roman"/>
          <w:sz w:val="24"/>
          <w:szCs w:val="24"/>
        </w:rPr>
        <w:t xml:space="preserve"> for the selected position. </w:t>
      </w:r>
    </w:p>
    <w:p w:rsidR="005E4200" w:rsidRPr="005D67BC" w:rsidRDefault="005E4200" w:rsidP="005E4200">
      <w:pPr>
        <w:spacing w:before="100" w:beforeAutospacing="1" w:after="100" w:afterAutospacing="1" w:line="240" w:lineRule="auto"/>
        <w:ind w:left="720"/>
        <w:rPr>
          <w:rFonts w:eastAsia="Times New Roman" w:cs="Times New Roman"/>
          <w:sz w:val="24"/>
          <w:szCs w:val="24"/>
        </w:rPr>
      </w:pPr>
      <w:r w:rsidRPr="005D67BC">
        <w:rPr>
          <w:rFonts w:eastAsia="Times New Roman" w:cs="Times New Roman"/>
          <w:sz w:val="24"/>
          <w:szCs w:val="24"/>
        </w:rPr>
        <w:t>Enter the base salary for the position being requested. Do not include any benefit amounts. The requested amount must be within salary range and should be based on starting salaries for recent hires in this position.</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or edit the </w:t>
      </w:r>
      <w:r w:rsidRPr="005D67BC">
        <w:rPr>
          <w:rFonts w:eastAsia="Times New Roman" w:cs="Times New Roman"/>
          <w:b/>
          <w:bCs/>
          <w:sz w:val="24"/>
          <w:szCs w:val="24"/>
        </w:rPr>
        <w:t>Health Insurance</w:t>
      </w:r>
      <w:r w:rsidRPr="005D67BC">
        <w:rPr>
          <w:rFonts w:eastAsia="Times New Roman" w:cs="Times New Roman"/>
          <w:sz w:val="24"/>
          <w:szCs w:val="24"/>
        </w:rPr>
        <w:t xml:space="preserve"> for the position. </w:t>
      </w:r>
    </w:p>
    <w:p w:rsidR="005E4200" w:rsidRPr="005D67BC" w:rsidRDefault="005E4200" w:rsidP="005E4200">
      <w:pPr>
        <w:spacing w:before="100" w:beforeAutospacing="1" w:after="100" w:afterAutospacing="1" w:line="240" w:lineRule="auto"/>
        <w:ind w:left="720"/>
        <w:rPr>
          <w:rFonts w:eastAsia="Times New Roman" w:cs="Times New Roman"/>
          <w:sz w:val="24"/>
          <w:szCs w:val="24"/>
        </w:rPr>
      </w:pPr>
      <w:r w:rsidRPr="005D67BC">
        <w:rPr>
          <w:rFonts w:eastAsia="Times New Roman" w:cs="Times New Roman"/>
          <w:sz w:val="24"/>
          <w:szCs w:val="24"/>
        </w:rPr>
        <w:t>Select a health premium. You can select the statewide average, or the actual employers premium for single, employee plus one, and family coverage.</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Select or edit the </w:t>
      </w:r>
      <w:r w:rsidRPr="005D67BC">
        <w:rPr>
          <w:rFonts w:eastAsia="Times New Roman" w:cs="Times New Roman"/>
          <w:b/>
          <w:bCs/>
          <w:sz w:val="24"/>
          <w:szCs w:val="24"/>
        </w:rPr>
        <w:t>Retirement</w:t>
      </w:r>
      <w:r w:rsidRPr="005D67BC">
        <w:rPr>
          <w:rFonts w:eastAsia="Times New Roman" w:cs="Times New Roman"/>
          <w:sz w:val="24"/>
          <w:szCs w:val="24"/>
        </w:rPr>
        <w:t xml:space="preserve"> for the position. </w:t>
      </w:r>
    </w:p>
    <w:p w:rsidR="005E4200" w:rsidRPr="005D67BC" w:rsidRDefault="005E4200" w:rsidP="005E4200">
      <w:pPr>
        <w:spacing w:before="100" w:beforeAutospacing="1" w:after="100" w:afterAutospacing="1" w:line="240" w:lineRule="auto"/>
        <w:ind w:left="720"/>
        <w:rPr>
          <w:rFonts w:eastAsia="Times New Roman" w:cs="Times New Roman"/>
          <w:sz w:val="24"/>
          <w:szCs w:val="24"/>
        </w:rPr>
      </w:pPr>
      <w:r w:rsidRPr="005D67BC">
        <w:rPr>
          <w:rFonts w:eastAsia="Times New Roman" w:cs="Times New Roman"/>
          <w:sz w:val="24"/>
          <w:szCs w:val="24"/>
        </w:rPr>
        <w:lastRenderedPageBreak/>
        <w:t xml:space="preserve">Select the retirement type for the position: regular VRS, </w:t>
      </w:r>
      <w:proofErr w:type="spellStart"/>
      <w:r w:rsidRPr="005D67BC">
        <w:rPr>
          <w:rFonts w:eastAsia="Times New Roman" w:cs="Times New Roman"/>
          <w:sz w:val="24"/>
          <w:szCs w:val="24"/>
        </w:rPr>
        <w:t>VaLORS</w:t>
      </w:r>
      <w:proofErr w:type="spellEnd"/>
      <w:r w:rsidRPr="005D67BC">
        <w:rPr>
          <w:rFonts w:eastAsia="Times New Roman" w:cs="Times New Roman"/>
          <w:sz w:val="24"/>
          <w:szCs w:val="24"/>
        </w:rPr>
        <w:t>, SPORS, judges'</w:t>
      </w:r>
      <w:r w:rsidR="002269A5">
        <w:rPr>
          <w:rFonts w:eastAsia="Times New Roman" w:cs="Times New Roman"/>
          <w:sz w:val="24"/>
          <w:szCs w:val="24"/>
        </w:rPr>
        <w:t xml:space="preserve"> </w:t>
      </w:r>
      <w:r w:rsidRPr="005D67BC">
        <w:rPr>
          <w:rFonts w:eastAsia="Times New Roman" w:cs="Times New Roman"/>
          <w:sz w:val="24"/>
          <w:szCs w:val="24"/>
        </w:rPr>
        <w:t>retirement, or defined contribution.</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Enter the number of pay periods for the position for the first year of the biennium in the </w:t>
      </w:r>
      <w:r w:rsidRPr="005D67BC">
        <w:rPr>
          <w:rFonts w:eastAsia="Times New Roman" w:cs="Times New Roman"/>
          <w:b/>
          <w:bCs/>
          <w:sz w:val="24"/>
          <w:szCs w:val="24"/>
        </w:rPr>
        <w:t>FY 20XX Pay Periods</w:t>
      </w:r>
      <w:r w:rsidRPr="005D67BC">
        <w:rPr>
          <w:rFonts w:eastAsia="Times New Roman" w:cs="Times New Roman"/>
          <w:sz w:val="24"/>
          <w:szCs w:val="24"/>
        </w:rPr>
        <w:t xml:space="preserve"> cell if the position is valid for the first year of the biennium.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 number of positions allocated to the specified position for the first year of the biennium in the </w:t>
      </w:r>
      <w:r w:rsidRPr="005D67BC">
        <w:rPr>
          <w:rFonts w:eastAsia="Times New Roman" w:cs="Times New Roman"/>
          <w:b/>
          <w:bCs/>
          <w:sz w:val="24"/>
          <w:szCs w:val="24"/>
        </w:rPr>
        <w:t>FY 20XX Positions</w:t>
      </w:r>
      <w:r w:rsidRPr="005D67BC">
        <w:rPr>
          <w:rFonts w:eastAsia="Times New Roman" w:cs="Times New Roman"/>
          <w:sz w:val="24"/>
          <w:szCs w:val="24"/>
        </w:rPr>
        <w:t xml:space="preserve"> cell if the position is valid for the first year of the biennium.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Enter or </w:t>
      </w:r>
      <w:proofErr w:type="spellStart"/>
      <w:r w:rsidRPr="005D67BC">
        <w:rPr>
          <w:rFonts w:eastAsia="Times New Roman" w:cs="Times New Roman"/>
          <w:sz w:val="24"/>
          <w:szCs w:val="24"/>
        </w:rPr>
        <w:t>edit</w:t>
      </w:r>
      <w:proofErr w:type="spellEnd"/>
      <w:r w:rsidRPr="005D67BC">
        <w:rPr>
          <w:rFonts w:eastAsia="Times New Roman" w:cs="Times New Roman"/>
          <w:sz w:val="24"/>
          <w:szCs w:val="24"/>
        </w:rPr>
        <w:t xml:space="preserve"> the </w:t>
      </w:r>
      <w:r w:rsidRPr="005D67BC">
        <w:rPr>
          <w:rFonts w:eastAsia="Times New Roman" w:cs="Times New Roman"/>
          <w:b/>
          <w:bCs/>
          <w:sz w:val="24"/>
          <w:szCs w:val="24"/>
        </w:rPr>
        <w:t>FY 20XX Pay Periods</w:t>
      </w:r>
      <w:r w:rsidRPr="005D67BC">
        <w:rPr>
          <w:rFonts w:eastAsia="Times New Roman" w:cs="Times New Roman"/>
          <w:sz w:val="24"/>
          <w:szCs w:val="24"/>
        </w:rPr>
        <w:t xml:space="preserve"> and </w:t>
      </w:r>
      <w:r w:rsidRPr="005D67BC">
        <w:rPr>
          <w:rFonts w:eastAsia="Times New Roman" w:cs="Times New Roman"/>
          <w:b/>
          <w:bCs/>
          <w:sz w:val="24"/>
          <w:szCs w:val="24"/>
        </w:rPr>
        <w:t>FY 20XX Positions</w:t>
      </w:r>
      <w:r w:rsidRPr="005D67BC">
        <w:rPr>
          <w:rFonts w:eastAsia="Times New Roman" w:cs="Times New Roman"/>
          <w:sz w:val="24"/>
          <w:szCs w:val="24"/>
        </w:rPr>
        <w:t xml:space="preserve">, where 20XX is the second year of the biennium. Data will only be entered for the second year of the biennium if the position is valid for the second year of the biennium.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Add rows to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by clicking the</w:t>
      </w:r>
      <w:r w:rsidRPr="005D67BC">
        <w:rPr>
          <w:rFonts w:eastAsia="Times New Roman" w:cs="Times New Roman"/>
          <w:b/>
          <w:bCs/>
          <w:sz w:val="24"/>
          <w:szCs w:val="24"/>
        </w:rPr>
        <w:t xml:space="preserve"> Add</w:t>
      </w:r>
      <w:r w:rsidRPr="005D67BC">
        <w:rPr>
          <w:rFonts w:eastAsia="Times New Roman" w:cs="Times New Roman"/>
          <w:sz w:val="24"/>
          <w:szCs w:val="24"/>
        </w:rPr>
        <w:t xml:space="preserve"> button in the lower left corner of the grid as needed.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Once all roles have been added to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 click the </w:t>
      </w:r>
      <w:r w:rsidRPr="005D67BC">
        <w:rPr>
          <w:rFonts w:eastAsia="Times New Roman" w:cs="Times New Roman"/>
          <w:b/>
          <w:bCs/>
          <w:sz w:val="24"/>
          <w:szCs w:val="24"/>
        </w:rPr>
        <w:t>Calculate</w:t>
      </w:r>
      <w:r w:rsidRPr="005D67BC">
        <w:rPr>
          <w:rFonts w:eastAsia="Times New Roman" w:cs="Times New Roman"/>
          <w:sz w:val="24"/>
          <w:szCs w:val="24"/>
        </w:rPr>
        <w:t xml:space="preserve"> button to calculate the budget for both years of the biennium for the specified positions. This calculation is based upon the data entered for each.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Confirm the calculation of the budget for both the first and second years of the biennium FY 20XX Budget. If the amounts are not correct, edit the values entered for one or more positions and recalculate the budget for that those positions by repeating step 12. </w:t>
      </w:r>
    </w:p>
    <w:p w:rsidR="005E4200" w:rsidRPr="005D67BC" w:rsidRDefault="005E4200" w:rsidP="00DC668B">
      <w:pPr>
        <w:numPr>
          <w:ilvl w:val="0"/>
          <w:numId w:val="9"/>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Once the budget for both years of the biennium for each position is satisfactory, click the </w:t>
      </w:r>
      <w:r w:rsidRPr="005D67BC">
        <w:rPr>
          <w:rFonts w:eastAsia="Times New Roman" w:cs="Times New Roman"/>
          <w:b/>
          <w:bCs/>
          <w:sz w:val="24"/>
          <w:szCs w:val="24"/>
        </w:rPr>
        <w:t>Populate Total Services</w:t>
      </w:r>
      <w:r w:rsidRPr="005D67BC">
        <w:rPr>
          <w:rFonts w:eastAsia="Times New Roman" w:cs="Times New Roman"/>
          <w:sz w:val="24"/>
          <w:szCs w:val="24"/>
        </w:rPr>
        <w:t xml:space="preserve"> button to calculate the personal services budget for the </w:t>
      </w:r>
      <w:r w:rsidRPr="005D67BC">
        <w:rPr>
          <w:rFonts w:eastAsia="Times New Roman" w:cs="Times New Roman"/>
          <w:b/>
          <w:bCs/>
          <w:sz w:val="24"/>
          <w:szCs w:val="24"/>
        </w:rPr>
        <w:t>Budget Details</w:t>
      </w:r>
      <w:r w:rsidRPr="005D67BC">
        <w:rPr>
          <w:rFonts w:eastAsia="Times New Roman" w:cs="Times New Roman"/>
          <w:sz w:val="24"/>
          <w:szCs w:val="24"/>
        </w:rPr>
        <w:t xml:space="preserve"> tab based upon the data entered in the </w:t>
      </w:r>
      <w:r w:rsidRPr="005D67BC">
        <w:rPr>
          <w:rFonts w:eastAsia="Times New Roman" w:cs="Times New Roman"/>
          <w:b/>
          <w:bCs/>
          <w:sz w:val="24"/>
          <w:szCs w:val="24"/>
        </w:rPr>
        <w:t>Position Planning</w:t>
      </w:r>
      <w:r w:rsidRPr="005D67BC">
        <w:rPr>
          <w:rFonts w:eastAsia="Times New Roman" w:cs="Times New Roman"/>
          <w:sz w:val="24"/>
          <w:szCs w:val="24"/>
        </w:rPr>
        <w:t xml:space="preserve"> grid.</w:t>
      </w:r>
    </w:p>
    <w:p w:rsidR="00B753D5" w:rsidRDefault="00B753D5">
      <w:pPr>
        <w:rPr>
          <w:rFonts w:ascii="Calibri" w:eastAsia="Times New Roman" w:hAnsi="Calibri" w:cs="Times New Roman"/>
          <w:b/>
          <w:bCs/>
          <w:color w:val="4F81BD"/>
          <w:sz w:val="36"/>
          <w:szCs w:val="36"/>
        </w:rPr>
      </w:pPr>
      <w:r>
        <w:br w:type="page"/>
      </w:r>
    </w:p>
    <w:p w:rsidR="005E4200" w:rsidRPr="00614438" w:rsidRDefault="005E4200" w:rsidP="00614438">
      <w:pPr>
        <w:pStyle w:val="HelpTopic"/>
      </w:pPr>
      <w:r w:rsidRPr="00614438">
        <w:lastRenderedPageBreak/>
        <w:t xml:space="preserve">Allocation </w:t>
      </w:r>
      <w:proofErr w:type="gramStart"/>
      <w:r w:rsidRPr="00614438">
        <w:t>Across</w:t>
      </w:r>
      <w:proofErr w:type="gramEnd"/>
      <w:r w:rsidRPr="00614438">
        <w:t xml:space="preserve"> Components</w:t>
      </w:r>
    </w:p>
    <w:p w:rsidR="005E4200" w:rsidRPr="006F23AE" w:rsidRDefault="00273233" w:rsidP="005E4200">
      <w:pPr>
        <w:spacing w:after="0" w:line="240" w:lineRule="auto"/>
        <w:rPr>
          <w:rFonts w:asciiTheme="majorHAnsi" w:eastAsia="Times New Roman" w:hAnsiTheme="majorHAnsi" w:cs="Times New Roman"/>
          <w:sz w:val="24"/>
          <w:szCs w:val="24"/>
        </w:rPr>
      </w:pPr>
      <w:r w:rsidRPr="00273233">
        <w:rPr>
          <w:rFonts w:asciiTheme="majorHAnsi" w:eastAsia="Times New Roman" w:hAnsiTheme="majorHAnsi" w:cs="Times New Roman"/>
          <w:sz w:val="24"/>
          <w:szCs w:val="24"/>
        </w:rPr>
        <w:pict>
          <v:rect id="_x0000_i1040" style="width:468pt;height:1.5pt" o:hralign="center" o:hrstd="t" o:hr="t" fillcolor="#a0a0a0" stroked="f"/>
        </w:pict>
      </w:r>
    </w:p>
    <w:p w:rsidR="005E4200" w:rsidRPr="00614438" w:rsidRDefault="00440C4F" w:rsidP="00ED1D07">
      <w:pPr>
        <w:pStyle w:val="SubHeading"/>
      </w:pPr>
      <w:bookmarkStart w:id="26" w:name="_Toc355338451"/>
      <w:r w:rsidRPr="00440C4F">
        <w:t xml:space="preserve">Components </w:t>
      </w:r>
      <w:r w:rsidR="005E4200" w:rsidRPr="00614438">
        <w:t>Overview</w:t>
      </w:r>
      <w:bookmarkEnd w:id="26"/>
    </w:p>
    <w:p w:rsidR="005E4200" w:rsidRPr="005D67BC" w:rsidRDefault="005E4200" w:rsidP="005E4200">
      <w:p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The purpose of the </w:t>
      </w:r>
      <w:r w:rsidRPr="005D67BC">
        <w:rPr>
          <w:rFonts w:eastAsia="Times New Roman" w:cs="Times New Roman"/>
          <w:b/>
          <w:bCs/>
          <w:sz w:val="24"/>
          <w:szCs w:val="24"/>
        </w:rPr>
        <w:t xml:space="preserve">Allocation </w:t>
      </w:r>
      <w:proofErr w:type="gramStart"/>
      <w:r w:rsidRPr="005D67BC">
        <w:rPr>
          <w:rFonts w:eastAsia="Times New Roman" w:cs="Times New Roman"/>
          <w:b/>
          <w:bCs/>
          <w:sz w:val="24"/>
          <w:szCs w:val="24"/>
        </w:rPr>
        <w:t>Across</w:t>
      </w:r>
      <w:proofErr w:type="gramEnd"/>
      <w:r w:rsidRPr="005D67BC">
        <w:rPr>
          <w:rFonts w:eastAsia="Times New Roman" w:cs="Times New Roman"/>
          <w:b/>
          <w:bCs/>
          <w:sz w:val="24"/>
          <w:szCs w:val="24"/>
        </w:rPr>
        <w:t xml:space="preserve"> Components</w:t>
      </w:r>
      <w:r w:rsidRPr="005D67BC">
        <w:rPr>
          <w:rFonts w:eastAsia="Times New Roman" w:cs="Times New Roman"/>
          <w:sz w:val="24"/>
          <w:szCs w:val="24"/>
        </w:rPr>
        <w:t xml:space="preserve"> tab is to capture the budget details for each budgetary component by program and fund/fund detail.</w:t>
      </w:r>
      <w:r w:rsidR="00614438" w:rsidRPr="005D67BC">
        <w:rPr>
          <w:rFonts w:eastAsia="Times New Roman" w:cs="Times New Roman"/>
          <w:sz w:val="24"/>
          <w:szCs w:val="24"/>
        </w:rPr>
        <w:t xml:space="preserve">  A discrete piece of an agency’s budget that further breaks down its activities or services, components contribute to the accomplishment of an agency’s mission. Components can span service areas</w:t>
      </w:r>
      <w:r w:rsidR="002269A5">
        <w:rPr>
          <w:rFonts w:eastAsia="Times New Roman" w:cs="Times New Roman"/>
          <w:sz w:val="24"/>
          <w:szCs w:val="24"/>
        </w:rPr>
        <w:t xml:space="preserve">. </w:t>
      </w:r>
      <w:r w:rsidR="00614438" w:rsidRPr="005D67BC">
        <w:rPr>
          <w:rFonts w:eastAsia="Times New Roman" w:cs="Times New Roman"/>
          <w:sz w:val="24"/>
          <w:szCs w:val="24"/>
        </w:rPr>
        <w:t xml:space="preserve"> </w:t>
      </w:r>
      <w:r w:rsidR="002269A5">
        <w:rPr>
          <w:rFonts w:eastAsia="Times New Roman" w:cs="Times New Roman"/>
          <w:sz w:val="24"/>
          <w:szCs w:val="24"/>
        </w:rPr>
        <w:t>H</w:t>
      </w:r>
      <w:r w:rsidR="00614438" w:rsidRPr="005D67BC">
        <w:rPr>
          <w:rFonts w:eastAsia="Times New Roman" w:cs="Times New Roman"/>
          <w:sz w:val="24"/>
          <w:szCs w:val="24"/>
        </w:rPr>
        <w:t>owever, each service area must have at least one component. Components should not duplicate data obtainable from subobject codes.</w:t>
      </w:r>
    </w:p>
    <w:p w:rsidR="005E4200" w:rsidRPr="006F23AE" w:rsidRDefault="005E4200" w:rsidP="004612F4">
      <w:pPr>
        <w:spacing w:before="100" w:beforeAutospacing="1" w:after="100" w:afterAutospacing="1" w:line="240" w:lineRule="auto"/>
        <w:jc w:val="center"/>
        <w:outlineLvl w:val="2"/>
        <w:rPr>
          <w:rFonts w:asciiTheme="majorHAnsi" w:eastAsia="Times New Roman" w:hAnsiTheme="majorHAnsi" w:cs="Times New Roman"/>
          <w:b/>
          <w:bCs/>
          <w:sz w:val="27"/>
          <w:szCs w:val="27"/>
        </w:rPr>
      </w:pPr>
      <w:r w:rsidRPr="006F23AE">
        <w:rPr>
          <w:rFonts w:asciiTheme="majorHAnsi" w:eastAsia="Times New Roman" w:hAnsiTheme="majorHAnsi" w:cs="Times New Roman"/>
          <w:b/>
          <w:bCs/>
          <w:noProof/>
          <w:sz w:val="27"/>
          <w:szCs w:val="27"/>
        </w:rPr>
        <w:drawing>
          <wp:inline distT="0" distB="0" distL="0" distR="0">
            <wp:extent cx="4057650" cy="2381250"/>
            <wp:effectExtent l="19050" t="19050" r="19050" b="19050"/>
            <wp:docPr id="178" name="Picture 178" descr="https://pbprod.vita.virginia.gov/PBApp/Help/Images/BaseBudget_AllocationAcrossComponents_AgencyAnaly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pbprod.vita.virginia.gov/PBApp/Help/Images/BaseBudget_AllocationAcrossComponents_AgencyAnalyst.jpg"/>
                    <pic:cNvPicPr>
                      <a:picLocks noChangeAspect="1" noChangeArrowheads="1"/>
                    </pic:cNvPicPr>
                  </pic:nvPicPr>
                  <pic:blipFill>
                    <a:blip r:embed="rId17" cstate="print"/>
                    <a:srcRect/>
                    <a:stretch>
                      <a:fillRect/>
                    </a:stretch>
                  </pic:blipFill>
                  <pic:spPr bwMode="auto">
                    <a:xfrm>
                      <a:off x="0" y="0"/>
                      <a:ext cx="4057650" cy="2381250"/>
                    </a:xfrm>
                    <a:prstGeom prst="rect">
                      <a:avLst/>
                    </a:prstGeom>
                    <a:noFill/>
                    <a:ln w="9525">
                      <a:solidFill>
                        <a:schemeClr val="accent1"/>
                      </a:solidFill>
                      <a:miter lim="800000"/>
                      <a:headEnd/>
                      <a:tailEnd/>
                    </a:ln>
                  </pic:spPr>
                </pic:pic>
              </a:graphicData>
            </a:graphic>
          </wp:inline>
        </w:drawing>
      </w:r>
    </w:p>
    <w:p w:rsidR="005E4200" w:rsidRPr="00614438" w:rsidRDefault="00440C4F" w:rsidP="00ED1D07">
      <w:pPr>
        <w:pStyle w:val="SubHeading"/>
      </w:pPr>
      <w:bookmarkStart w:id="27" w:name="_Toc355338452"/>
      <w:r w:rsidRPr="00440C4F">
        <w:t xml:space="preserve">Components </w:t>
      </w:r>
      <w:r w:rsidR="005E4200" w:rsidRPr="00614438">
        <w:t>Instructions</w:t>
      </w:r>
      <w:bookmarkEnd w:id="27"/>
    </w:p>
    <w:p w:rsidR="005E4200" w:rsidRPr="005D67BC" w:rsidRDefault="005E4200" w:rsidP="00DC668B">
      <w:pPr>
        <w:numPr>
          <w:ilvl w:val="0"/>
          <w:numId w:val="10"/>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 xml:space="preserve">Allocation </w:t>
      </w:r>
      <w:proofErr w:type="gramStart"/>
      <w:r w:rsidRPr="005D67BC">
        <w:rPr>
          <w:rFonts w:eastAsia="Times New Roman" w:cs="Times New Roman"/>
          <w:b/>
          <w:bCs/>
          <w:sz w:val="24"/>
          <w:szCs w:val="24"/>
        </w:rPr>
        <w:t>Across</w:t>
      </w:r>
      <w:proofErr w:type="gramEnd"/>
      <w:r w:rsidRPr="005D67BC">
        <w:rPr>
          <w:rFonts w:eastAsia="Times New Roman" w:cs="Times New Roman"/>
          <w:b/>
          <w:bCs/>
          <w:sz w:val="24"/>
          <w:szCs w:val="24"/>
        </w:rPr>
        <w:t xml:space="preserve"> Components</w:t>
      </w:r>
      <w:r w:rsidRPr="005D67BC">
        <w:rPr>
          <w:rFonts w:eastAsia="Times New Roman" w:cs="Times New Roman"/>
          <w:sz w:val="24"/>
          <w:szCs w:val="24"/>
        </w:rPr>
        <w:t xml:space="preserve"> tab. </w:t>
      </w:r>
    </w:p>
    <w:p w:rsidR="005E4200" w:rsidRPr="005D67BC" w:rsidRDefault="005E4200" w:rsidP="00DC668B">
      <w:pPr>
        <w:numPr>
          <w:ilvl w:val="0"/>
          <w:numId w:val="10"/>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00593EB8">
        <w:rPr>
          <w:rFonts w:eastAsia="Times New Roman" w:cs="Times New Roman"/>
          <w:b/>
          <w:bCs/>
          <w:sz w:val="24"/>
          <w:szCs w:val="24"/>
        </w:rPr>
        <w:t>U</w:t>
      </w:r>
      <w:r w:rsidR="00593EB8" w:rsidRPr="005D67BC">
        <w:rPr>
          <w:rFonts w:eastAsia="Times New Roman" w:cs="Times New Roman"/>
          <w:b/>
          <w:bCs/>
          <w:sz w:val="24"/>
          <w:szCs w:val="24"/>
        </w:rPr>
        <w:t>pdate</w:t>
      </w:r>
      <w:r w:rsidR="00593EB8" w:rsidRPr="005D67BC">
        <w:rPr>
          <w:rFonts w:eastAsia="Times New Roman" w:cs="Times New Roman"/>
          <w:sz w:val="24"/>
          <w:szCs w:val="24"/>
        </w:rPr>
        <w:t xml:space="preserve"> </w:t>
      </w:r>
      <w:r w:rsidRPr="005D67BC">
        <w:rPr>
          <w:rFonts w:eastAsia="Times New Roman" w:cs="Times New Roman"/>
          <w:sz w:val="24"/>
          <w:szCs w:val="24"/>
        </w:rPr>
        <w:t xml:space="preserve">button. This will populate the </w:t>
      </w:r>
      <w:r w:rsidRPr="005D67BC">
        <w:rPr>
          <w:rFonts w:eastAsia="Times New Roman" w:cs="Times New Roman"/>
          <w:b/>
          <w:bCs/>
          <w:sz w:val="24"/>
          <w:szCs w:val="24"/>
        </w:rPr>
        <w:t xml:space="preserve">Allocation </w:t>
      </w:r>
      <w:proofErr w:type="gramStart"/>
      <w:r w:rsidRPr="005D67BC">
        <w:rPr>
          <w:rFonts w:eastAsia="Times New Roman" w:cs="Times New Roman"/>
          <w:b/>
          <w:bCs/>
          <w:sz w:val="24"/>
          <w:szCs w:val="24"/>
        </w:rPr>
        <w:t>Across</w:t>
      </w:r>
      <w:proofErr w:type="gramEnd"/>
      <w:r w:rsidRPr="005D67BC">
        <w:rPr>
          <w:rFonts w:eastAsia="Times New Roman" w:cs="Times New Roman"/>
          <w:b/>
          <w:bCs/>
          <w:sz w:val="24"/>
          <w:szCs w:val="24"/>
        </w:rPr>
        <w:t xml:space="preserve"> Components</w:t>
      </w:r>
      <w:r w:rsidRPr="005D67BC">
        <w:rPr>
          <w:rFonts w:eastAsia="Times New Roman" w:cs="Times New Roman"/>
          <w:sz w:val="24"/>
          <w:szCs w:val="24"/>
        </w:rPr>
        <w:t xml:space="preserve"> tab with your budget by program and fund/fund detail as allocated in the base budget total services grid. These lines will appear in the shaded grey rows. The balance to be allocated by component will be in the shaded yellow rows. </w:t>
      </w:r>
    </w:p>
    <w:p w:rsidR="005E4200" w:rsidRPr="005D67BC" w:rsidRDefault="005E4200" w:rsidP="00DC668B">
      <w:pPr>
        <w:numPr>
          <w:ilvl w:val="0"/>
          <w:numId w:val="10"/>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balance row where you would like to add a new row, and click </w:t>
      </w:r>
      <w:r w:rsidRPr="005D67BC">
        <w:rPr>
          <w:rFonts w:eastAsia="Times New Roman" w:cs="Times New Roman"/>
          <w:b/>
          <w:bCs/>
          <w:sz w:val="24"/>
          <w:szCs w:val="24"/>
        </w:rPr>
        <w:t>Add</w:t>
      </w:r>
      <w:r w:rsidRPr="005D67BC">
        <w:rPr>
          <w:rFonts w:eastAsia="Times New Roman" w:cs="Times New Roman"/>
          <w:sz w:val="24"/>
          <w:szCs w:val="24"/>
        </w:rPr>
        <w:t>. In order to select the balance row properly, click the program field in the balance row. Keep adding rows until your budget is fully allocated by component.</w:t>
      </w:r>
    </w:p>
    <w:p w:rsidR="00614438" w:rsidRPr="005D67BC" w:rsidRDefault="005E4200" w:rsidP="00614438">
      <w:pPr>
        <w:pStyle w:val="ListParagraph"/>
        <w:numPr>
          <w:ilvl w:val="0"/>
          <w:numId w:val="10"/>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the </w:t>
      </w:r>
      <w:r w:rsidR="00593EB8">
        <w:rPr>
          <w:rFonts w:eastAsia="Times New Roman" w:cs="Times New Roman"/>
          <w:b/>
          <w:bCs/>
          <w:sz w:val="24"/>
          <w:szCs w:val="24"/>
        </w:rPr>
        <w:t>U</w:t>
      </w:r>
      <w:r w:rsidR="00593EB8" w:rsidRPr="005D67BC">
        <w:rPr>
          <w:rFonts w:eastAsia="Times New Roman" w:cs="Times New Roman"/>
          <w:b/>
          <w:bCs/>
          <w:sz w:val="24"/>
          <w:szCs w:val="24"/>
        </w:rPr>
        <w:t>pdate</w:t>
      </w:r>
      <w:r w:rsidR="00593EB8" w:rsidRPr="005D67BC">
        <w:rPr>
          <w:rFonts w:eastAsia="Times New Roman" w:cs="Times New Roman"/>
          <w:sz w:val="24"/>
          <w:szCs w:val="24"/>
        </w:rPr>
        <w:t xml:space="preserve"> </w:t>
      </w:r>
      <w:r w:rsidRPr="005D67BC">
        <w:rPr>
          <w:rFonts w:eastAsia="Times New Roman" w:cs="Times New Roman"/>
          <w:sz w:val="24"/>
          <w:szCs w:val="24"/>
        </w:rPr>
        <w:t xml:space="preserve">button to check the balance remaining to be allocated. A green </w:t>
      </w:r>
      <w:r w:rsidR="00614438" w:rsidRPr="005D67BC">
        <w:rPr>
          <w:rFonts w:eastAsia="Times New Roman" w:cs="Times New Roman"/>
          <w:sz w:val="24"/>
          <w:szCs w:val="24"/>
        </w:rPr>
        <w:t xml:space="preserve"> </w:t>
      </w:r>
    </w:p>
    <w:p w:rsidR="005E4200" w:rsidRPr="005D67BC" w:rsidRDefault="005E4200" w:rsidP="00614438">
      <w:pPr>
        <w:pStyle w:val="ListParagraph"/>
        <w:spacing w:before="100" w:beforeAutospacing="1" w:after="100" w:afterAutospacing="1" w:line="240" w:lineRule="auto"/>
        <w:rPr>
          <w:rFonts w:eastAsia="Times New Roman" w:cs="Times New Roman"/>
          <w:sz w:val="24"/>
          <w:szCs w:val="24"/>
        </w:rPr>
      </w:pPr>
      <w:proofErr w:type="gramStart"/>
      <w:r w:rsidRPr="005D67BC">
        <w:rPr>
          <w:rFonts w:eastAsia="Times New Roman" w:cs="Times New Roman"/>
          <w:sz w:val="24"/>
          <w:szCs w:val="24"/>
        </w:rPr>
        <w:t>shaded</w:t>
      </w:r>
      <w:proofErr w:type="gramEnd"/>
      <w:r w:rsidRPr="005D67BC">
        <w:rPr>
          <w:rFonts w:eastAsia="Times New Roman" w:cs="Times New Roman"/>
          <w:sz w:val="24"/>
          <w:szCs w:val="24"/>
        </w:rPr>
        <w:t xml:space="preserve"> row indicates that your budget is fully allocated.</w:t>
      </w:r>
    </w:p>
    <w:p w:rsidR="005E4200" w:rsidRPr="005D67BC" w:rsidRDefault="005E4200" w:rsidP="005E4200">
      <w:p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Components can also be imported into the grid. The best method for this is to export the grid after you have clicked </w:t>
      </w:r>
      <w:r w:rsidR="00593EB8">
        <w:rPr>
          <w:rFonts w:eastAsia="Times New Roman" w:cs="Times New Roman"/>
          <w:b/>
          <w:bCs/>
          <w:sz w:val="24"/>
          <w:szCs w:val="24"/>
        </w:rPr>
        <w:t>U</w:t>
      </w:r>
      <w:r w:rsidR="00593EB8" w:rsidRPr="005D67BC">
        <w:rPr>
          <w:rFonts w:eastAsia="Times New Roman" w:cs="Times New Roman"/>
          <w:b/>
          <w:bCs/>
          <w:sz w:val="24"/>
          <w:szCs w:val="24"/>
        </w:rPr>
        <w:t>pdate</w:t>
      </w:r>
      <w:r w:rsidRPr="005D67BC">
        <w:rPr>
          <w:rFonts w:eastAsia="Times New Roman" w:cs="Times New Roman"/>
          <w:sz w:val="24"/>
          <w:szCs w:val="24"/>
        </w:rPr>
        <w:t xml:space="preserve">. Add component records in the Excel file using the proper ID numbers, and re-import the data set. After you re-import you will need to click </w:t>
      </w:r>
      <w:r w:rsidR="00593EB8">
        <w:rPr>
          <w:rFonts w:eastAsia="Times New Roman" w:cs="Times New Roman"/>
          <w:b/>
          <w:bCs/>
          <w:sz w:val="24"/>
          <w:szCs w:val="24"/>
        </w:rPr>
        <w:t>U</w:t>
      </w:r>
      <w:r w:rsidR="00593EB8" w:rsidRPr="005D67BC">
        <w:rPr>
          <w:rFonts w:eastAsia="Times New Roman" w:cs="Times New Roman"/>
          <w:b/>
          <w:bCs/>
          <w:sz w:val="24"/>
          <w:szCs w:val="24"/>
        </w:rPr>
        <w:t xml:space="preserve">pdate </w:t>
      </w:r>
      <w:r w:rsidRPr="005D67BC">
        <w:rPr>
          <w:rFonts w:eastAsia="Times New Roman" w:cs="Times New Roman"/>
          <w:sz w:val="24"/>
          <w:szCs w:val="24"/>
        </w:rPr>
        <w:t>again.</w:t>
      </w:r>
    </w:p>
    <w:p w:rsidR="00B753D5" w:rsidRDefault="00B753D5">
      <w:pPr>
        <w:rPr>
          <w:rFonts w:ascii="Calibri" w:eastAsia="Times New Roman" w:hAnsi="Calibri" w:cs="Times New Roman"/>
          <w:b/>
          <w:bCs/>
          <w:color w:val="4F81BD"/>
          <w:sz w:val="36"/>
          <w:szCs w:val="36"/>
        </w:rPr>
      </w:pPr>
      <w:r>
        <w:br w:type="page"/>
      </w:r>
    </w:p>
    <w:p w:rsidR="005E4200" w:rsidRPr="006F23AE" w:rsidRDefault="005E4200" w:rsidP="00614438">
      <w:pPr>
        <w:pStyle w:val="HelpTopic"/>
        <w:rPr>
          <w:rFonts w:asciiTheme="majorHAnsi" w:hAnsiTheme="majorHAnsi"/>
          <w:b w:val="0"/>
          <w:bCs w:val="0"/>
          <w:kern w:val="36"/>
          <w:sz w:val="48"/>
          <w:szCs w:val="48"/>
        </w:rPr>
      </w:pPr>
      <w:r w:rsidRPr="00614438">
        <w:lastRenderedPageBreak/>
        <w:t>Strategic Link</w:t>
      </w:r>
    </w:p>
    <w:p w:rsidR="005E4200" w:rsidRPr="006F23AE" w:rsidRDefault="00273233" w:rsidP="005E4200">
      <w:pPr>
        <w:spacing w:after="0" w:line="240" w:lineRule="auto"/>
        <w:rPr>
          <w:rFonts w:asciiTheme="majorHAnsi" w:eastAsia="Times New Roman" w:hAnsiTheme="majorHAnsi" w:cs="Times New Roman"/>
          <w:sz w:val="24"/>
          <w:szCs w:val="24"/>
        </w:rPr>
      </w:pPr>
      <w:r w:rsidRPr="00273233">
        <w:rPr>
          <w:rFonts w:asciiTheme="majorHAnsi" w:eastAsia="Times New Roman" w:hAnsiTheme="majorHAnsi" w:cs="Times New Roman"/>
          <w:sz w:val="24"/>
          <w:szCs w:val="24"/>
        </w:rPr>
        <w:pict>
          <v:rect id="_x0000_i1041" style="width:468pt;height:1.5pt" o:hralign="center" o:hrstd="t" o:hr="t" fillcolor="#a0a0a0" stroked="f"/>
        </w:pict>
      </w:r>
    </w:p>
    <w:p w:rsidR="005E4200" w:rsidRPr="00614438" w:rsidRDefault="00440C4F" w:rsidP="00ED1D07">
      <w:pPr>
        <w:pStyle w:val="SubHeading"/>
      </w:pPr>
      <w:bookmarkStart w:id="28" w:name="_Toc355338453"/>
      <w:r w:rsidRPr="00440C4F">
        <w:t xml:space="preserve">Strategic Link </w:t>
      </w:r>
      <w:r w:rsidR="005E4200" w:rsidRPr="00614438">
        <w:t>Overview</w:t>
      </w:r>
      <w:bookmarkEnd w:id="28"/>
    </w:p>
    <w:p w:rsidR="005E4200" w:rsidRPr="005D67BC" w:rsidRDefault="005E4200" w:rsidP="005E4200">
      <w:p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The purpose of the </w:t>
      </w:r>
      <w:r w:rsidRPr="005D67BC">
        <w:rPr>
          <w:rFonts w:eastAsia="Times New Roman" w:cs="Times New Roman"/>
          <w:b/>
          <w:bCs/>
          <w:sz w:val="24"/>
          <w:szCs w:val="24"/>
        </w:rPr>
        <w:t>Strategic Link</w:t>
      </w:r>
      <w:r w:rsidRPr="005D67BC">
        <w:rPr>
          <w:rFonts w:eastAsia="Times New Roman" w:cs="Times New Roman"/>
          <w:sz w:val="24"/>
          <w:szCs w:val="24"/>
        </w:rPr>
        <w:t xml:space="preserve"> tab is to link GF/NGF appropriations by service area to the latest published strategic plan in the Performance Budgeting System. Agencies that do not participate in Performance Budgeting System Strategic Planning should uncheck the Strategic Planning allocation not required box as indicated on the Overview tab instructions.</w:t>
      </w:r>
    </w:p>
    <w:p w:rsidR="005E4200" w:rsidRPr="006F23AE" w:rsidRDefault="005E4200" w:rsidP="00484A04">
      <w:pPr>
        <w:spacing w:before="100" w:beforeAutospacing="1" w:after="100" w:afterAutospacing="1" w:line="240" w:lineRule="auto"/>
        <w:jc w:val="center"/>
        <w:rPr>
          <w:rFonts w:asciiTheme="majorHAnsi" w:eastAsia="Times New Roman" w:hAnsiTheme="majorHAnsi" w:cs="Times New Roman"/>
          <w:sz w:val="24"/>
          <w:szCs w:val="24"/>
        </w:rPr>
      </w:pPr>
      <w:r w:rsidRPr="006F23AE">
        <w:rPr>
          <w:rFonts w:asciiTheme="majorHAnsi" w:eastAsia="Times New Roman" w:hAnsiTheme="majorHAnsi" w:cs="Times New Roman"/>
          <w:noProof/>
          <w:sz w:val="24"/>
          <w:szCs w:val="24"/>
        </w:rPr>
        <w:drawing>
          <wp:inline distT="0" distB="0" distL="0" distR="0">
            <wp:extent cx="5343525" cy="3019425"/>
            <wp:effectExtent l="19050" t="19050" r="28575" b="28575"/>
            <wp:docPr id="181" name="Picture 181" descr="https://pbprod.vita.virginia.gov/PBApp/Help/Images/StrategicLin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pbprod.vita.virginia.gov/PBApp/Help/Images/StrategicLink2.JPG"/>
                    <pic:cNvPicPr>
                      <a:picLocks noChangeAspect="1" noChangeArrowheads="1"/>
                    </pic:cNvPicPr>
                  </pic:nvPicPr>
                  <pic:blipFill>
                    <a:blip r:embed="rId18" cstate="print"/>
                    <a:srcRect/>
                    <a:stretch>
                      <a:fillRect/>
                    </a:stretch>
                  </pic:blipFill>
                  <pic:spPr bwMode="auto">
                    <a:xfrm>
                      <a:off x="0" y="0"/>
                      <a:ext cx="5343525" cy="3019425"/>
                    </a:xfrm>
                    <a:prstGeom prst="rect">
                      <a:avLst/>
                    </a:prstGeom>
                    <a:noFill/>
                    <a:ln w="9525">
                      <a:solidFill>
                        <a:schemeClr val="accent1"/>
                      </a:solidFill>
                      <a:miter lim="800000"/>
                      <a:headEnd/>
                      <a:tailEnd/>
                    </a:ln>
                  </pic:spPr>
                </pic:pic>
              </a:graphicData>
            </a:graphic>
          </wp:inline>
        </w:drawing>
      </w:r>
    </w:p>
    <w:p w:rsidR="005E4200" w:rsidRPr="00614438" w:rsidRDefault="00440C4F" w:rsidP="00ED1D07">
      <w:pPr>
        <w:pStyle w:val="SubHeading"/>
      </w:pPr>
      <w:bookmarkStart w:id="29" w:name="_Toc355338454"/>
      <w:r w:rsidRPr="00440C4F">
        <w:t xml:space="preserve">Strategic Link </w:t>
      </w:r>
      <w:r w:rsidR="005E4200" w:rsidRPr="00614438">
        <w:t>Instructions</w:t>
      </w:r>
      <w:bookmarkEnd w:id="29"/>
    </w:p>
    <w:p w:rsidR="005E4200" w:rsidRPr="005D67BC" w:rsidRDefault="005E4200" w:rsidP="00DC668B">
      <w:pPr>
        <w:numPr>
          <w:ilvl w:val="0"/>
          <w:numId w:val="1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 xml:space="preserve">Strategic Link </w:t>
      </w:r>
      <w:r w:rsidRPr="005D67BC">
        <w:rPr>
          <w:rFonts w:eastAsia="Times New Roman" w:cs="Times New Roman"/>
          <w:sz w:val="24"/>
          <w:szCs w:val="24"/>
        </w:rPr>
        <w:t xml:space="preserve">tab. </w:t>
      </w:r>
    </w:p>
    <w:p w:rsidR="005E4200" w:rsidRPr="005D67BC" w:rsidRDefault="005E4200" w:rsidP="00DC668B">
      <w:pPr>
        <w:numPr>
          <w:ilvl w:val="0"/>
          <w:numId w:val="1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on the </w:t>
      </w:r>
      <w:r w:rsidRPr="005D67BC">
        <w:rPr>
          <w:rFonts w:eastAsia="Times New Roman" w:cs="Times New Roman"/>
          <w:b/>
          <w:bCs/>
          <w:sz w:val="24"/>
          <w:szCs w:val="24"/>
        </w:rPr>
        <w:t>Update</w:t>
      </w:r>
      <w:r w:rsidRPr="005D67BC">
        <w:rPr>
          <w:rFonts w:eastAsia="Times New Roman" w:cs="Times New Roman"/>
          <w:sz w:val="24"/>
          <w:szCs w:val="24"/>
        </w:rPr>
        <w:t xml:space="preserve"> button. This will populate the </w:t>
      </w:r>
      <w:r w:rsidRPr="005D67BC">
        <w:rPr>
          <w:rFonts w:eastAsia="Times New Roman" w:cs="Times New Roman"/>
          <w:b/>
          <w:bCs/>
          <w:sz w:val="24"/>
          <w:szCs w:val="24"/>
        </w:rPr>
        <w:t>Strategic Link</w:t>
      </w:r>
      <w:r w:rsidRPr="005D67BC">
        <w:rPr>
          <w:rFonts w:eastAsia="Times New Roman" w:cs="Times New Roman"/>
          <w:sz w:val="24"/>
          <w:szCs w:val="24"/>
        </w:rPr>
        <w:t xml:space="preserve"> grid with the program-service areas included in the total services grid in the Base Budget tab. You should not complete the Strategic Link tab until you have completed arraying your budget on the Base Budget tab. </w:t>
      </w:r>
    </w:p>
    <w:p w:rsidR="005E4200" w:rsidRPr="005D67BC" w:rsidRDefault="005E4200" w:rsidP="00DC668B">
      <w:pPr>
        <w:numPr>
          <w:ilvl w:val="0"/>
          <w:numId w:val="1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Each service area in your base budget will be populated with two rows; </w:t>
      </w:r>
    </w:p>
    <w:p w:rsidR="005E4200" w:rsidRPr="005D67BC" w:rsidRDefault="005E4200" w:rsidP="004612F4">
      <w:pPr>
        <w:numPr>
          <w:ilvl w:val="1"/>
          <w:numId w:val="15"/>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1) </w:t>
      </w:r>
      <w:proofErr w:type="gramStart"/>
      <w:r w:rsidRPr="005D67BC">
        <w:rPr>
          <w:rFonts w:eastAsia="Times New Roman" w:cs="Times New Roman"/>
          <w:sz w:val="24"/>
          <w:szCs w:val="24"/>
        </w:rPr>
        <w:t>a</w:t>
      </w:r>
      <w:proofErr w:type="gramEnd"/>
      <w:r w:rsidRPr="005D67BC">
        <w:rPr>
          <w:rFonts w:eastAsia="Times New Roman" w:cs="Times New Roman"/>
          <w:sz w:val="24"/>
          <w:szCs w:val="24"/>
        </w:rPr>
        <w:t xml:space="preserve"> grey shaded Total Services row that is populated with either 0.00% or 100.00% under the GF and NGF columns depending on whether there are funds budgeted in that program-service area for GF or NGF. </w:t>
      </w:r>
    </w:p>
    <w:p w:rsidR="005E4200" w:rsidRPr="005D67BC" w:rsidRDefault="005E4200" w:rsidP="004612F4">
      <w:pPr>
        <w:numPr>
          <w:ilvl w:val="1"/>
          <w:numId w:val="15"/>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2) </w:t>
      </w:r>
      <w:proofErr w:type="gramStart"/>
      <w:r w:rsidRPr="005D67BC">
        <w:rPr>
          <w:rFonts w:eastAsia="Times New Roman" w:cs="Times New Roman"/>
          <w:sz w:val="24"/>
          <w:szCs w:val="24"/>
        </w:rPr>
        <w:t>a</w:t>
      </w:r>
      <w:proofErr w:type="gramEnd"/>
      <w:r w:rsidRPr="005D67BC">
        <w:rPr>
          <w:rFonts w:eastAsia="Times New Roman" w:cs="Times New Roman"/>
          <w:sz w:val="24"/>
          <w:szCs w:val="24"/>
        </w:rPr>
        <w:t xml:space="preserve"> yellow shaded Balance row that contains the balance remaining to allocate for the service area expressed in percentage terms.</w:t>
      </w:r>
    </w:p>
    <w:p w:rsidR="005E4200" w:rsidRPr="005D67BC" w:rsidRDefault="005E4200" w:rsidP="00DC668B">
      <w:pPr>
        <w:numPr>
          <w:ilvl w:val="0"/>
          <w:numId w:val="1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The goal of the Strategic Link tab is to allocate your budget to objectives and/or measures in your Strategic Plan. To do this, you will need to add rows to the Strategic Link grid and enter the program-service area, the agency or program-service area level performance measure or </w:t>
      </w:r>
      <w:r w:rsidRPr="005D67BC">
        <w:rPr>
          <w:rFonts w:eastAsia="Times New Roman" w:cs="Times New Roman"/>
          <w:sz w:val="24"/>
          <w:szCs w:val="24"/>
        </w:rPr>
        <w:lastRenderedPageBreak/>
        <w:t xml:space="preserve">objective you would like to allocate the service area to, and the percentage of GF and/or NGF for the program-service area in question that applies to the measure or objective selected. </w:t>
      </w:r>
    </w:p>
    <w:p w:rsidR="005E4200" w:rsidRPr="005D67BC" w:rsidRDefault="005E4200" w:rsidP="00DC668B">
      <w:pPr>
        <w:numPr>
          <w:ilvl w:val="0"/>
          <w:numId w:val="1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To add new rows, click on the balance row where you would like to add the row, and click </w:t>
      </w:r>
      <w:r w:rsidRPr="005D67BC">
        <w:rPr>
          <w:rFonts w:eastAsia="Times New Roman" w:cs="Times New Roman"/>
          <w:b/>
          <w:bCs/>
          <w:sz w:val="24"/>
          <w:szCs w:val="24"/>
        </w:rPr>
        <w:t>Add</w:t>
      </w:r>
      <w:r w:rsidRPr="005D67BC">
        <w:rPr>
          <w:rFonts w:eastAsia="Times New Roman" w:cs="Times New Roman"/>
          <w:sz w:val="24"/>
          <w:szCs w:val="24"/>
        </w:rPr>
        <w:t xml:space="preserve"> at the bottom of the grid. In order to select the balance row properly, click the program field in the balance row. </w:t>
      </w:r>
    </w:p>
    <w:p w:rsidR="005E4200" w:rsidRPr="005D67BC" w:rsidRDefault="005E4200" w:rsidP="00DC668B">
      <w:pPr>
        <w:numPr>
          <w:ilvl w:val="0"/>
          <w:numId w:val="1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You may choose to array your program-service area budget by either measures or objectives. The objectives and measures are listed in a tree-structure in the look-up box in the Objective/Measure column. </w:t>
      </w:r>
    </w:p>
    <w:p w:rsidR="005E4200" w:rsidRPr="005D67BC" w:rsidRDefault="005E4200" w:rsidP="00DC668B">
      <w:pPr>
        <w:numPr>
          <w:ilvl w:val="0"/>
          <w:numId w:val="1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As you add rows and array service areas to objectives or measures, you may click the </w:t>
      </w:r>
      <w:r w:rsidRPr="005D67BC">
        <w:rPr>
          <w:rFonts w:eastAsia="Times New Roman" w:cs="Times New Roman"/>
          <w:b/>
          <w:bCs/>
          <w:sz w:val="24"/>
          <w:szCs w:val="24"/>
        </w:rPr>
        <w:t>Update</w:t>
      </w:r>
      <w:r w:rsidRPr="005D67BC">
        <w:rPr>
          <w:rFonts w:eastAsia="Times New Roman" w:cs="Times New Roman"/>
          <w:sz w:val="24"/>
          <w:szCs w:val="24"/>
        </w:rPr>
        <w:t xml:space="preserve"> button to recalculate the yellow shaded Balance rows. After 100 percent of a service area has been allocated, the Balance row shading will turn green and the amount remaining to allocate will be 0.00%. </w:t>
      </w:r>
    </w:p>
    <w:p w:rsidR="005E4200" w:rsidRPr="005D67BC" w:rsidRDefault="005E4200" w:rsidP="00DC668B">
      <w:pPr>
        <w:numPr>
          <w:ilvl w:val="0"/>
          <w:numId w:val="1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Continue adding rows until all of your service areas have been allocated fully to performance measures or objectives. </w:t>
      </w:r>
    </w:p>
    <w:p w:rsidR="005E4200" w:rsidRPr="005D67BC" w:rsidRDefault="005E4200" w:rsidP="00DC668B">
      <w:pPr>
        <w:numPr>
          <w:ilvl w:val="0"/>
          <w:numId w:val="11"/>
        </w:numPr>
        <w:spacing w:before="100" w:beforeAutospacing="1" w:after="100" w:afterAutospacing="1" w:line="240" w:lineRule="auto"/>
        <w:rPr>
          <w:rFonts w:eastAsia="Times New Roman" w:cs="Times New Roman"/>
          <w:sz w:val="24"/>
          <w:szCs w:val="24"/>
        </w:rPr>
      </w:pPr>
      <w:r w:rsidRPr="005D67BC">
        <w:rPr>
          <w:rFonts w:eastAsia="Times New Roman" w:cs="Times New Roman"/>
          <w:sz w:val="24"/>
          <w:szCs w:val="24"/>
        </w:rPr>
        <w:t xml:space="preserve">Click the </w:t>
      </w:r>
      <w:r w:rsidRPr="005D67BC">
        <w:rPr>
          <w:rFonts w:eastAsia="Times New Roman" w:cs="Times New Roman"/>
          <w:b/>
          <w:bCs/>
          <w:sz w:val="24"/>
          <w:szCs w:val="24"/>
        </w:rPr>
        <w:t>Update</w:t>
      </w:r>
      <w:r w:rsidRPr="005D67BC">
        <w:rPr>
          <w:rFonts w:eastAsia="Times New Roman" w:cs="Times New Roman"/>
          <w:sz w:val="24"/>
          <w:szCs w:val="24"/>
        </w:rPr>
        <w:t xml:space="preserve"> button one last time after you have completed the allocation.</w:t>
      </w:r>
    </w:p>
    <w:p w:rsidR="005E4200" w:rsidRPr="006F23AE" w:rsidRDefault="005E4200" w:rsidP="005E4200">
      <w:pPr>
        <w:pBdr>
          <w:top w:val="single" w:sz="6" w:space="1" w:color="auto"/>
        </w:pBdr>
        <w:spacing w:after="0" w:line="240" w:lineRule="auto"/>
        <w:jc w:val="center"/>
        <w:rPr>
          <w:rFonts w:asciiTheme="majorHAnsi" w:eastAsia="Times New Roman" w:hAnsiTheme="majorHAnsi" w:cs="Arial"/>
          <w:vanish/>
          <w:sz w:val="16"/>
          <w:szCs w:val="16"/>
        </w:rPr>
      </w:pPr>
      <w:r w:rsidRPr="006F23AE">
        <w:rPr>
          <w:rFonts w:asciiTheme="majorHAnsi" w:eastAsia="Times New Roman" w:hAnsiTheme="majorHAnsi" w:cs="Arial"/>
          <w:vanish/>
          <w:sz w:val="16"/>
          <w:szCs w:val="16"/>
        </w:rPr>
        <w:t>Bottom of Form</w:t>
      </w:r>
    </w:p>
    <w:p w:rsidR="00D634E9" w:rsidRPr="006F23AE" w:rsidRDefault="00D634E9" w:rsidP="006437A4">
      <w:pPr>
        <w:rPr>
          <w:rFonts w:asciiTheme="majorHAnsi" w:hAnsiTheme="majorHAnsi"/>
        </w:rPr>
      </w:pPr>
    </w:p>
    <w:sectPr w:rsidR="00D634E9" w:rsidRPr="006F23AE" w:rsidSect="00696E3F">
      <w:type w:val="continuous"/>
      <w:pgSz w:w="12240" w:h="15840" w:code="1"/>
      <w:pgMar w:top="1008"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EE1" w:rsidRDefault="00744EE1" w:rsidP="00D51F00">
      <w:pPr>
        <w:spacing w:after="0" w:line="240" w:lineRule="auto"/>
      </w:pPr>
      <w:r>
        <w:separator/>
      </w:r>
    </w:p>
  </w:endnote>
  <w:endnote w:type="continuationSeparator" w:id="0">
    <w:p w:rsidR="00744EE1" w:rsidRDefault="00744EE1" w:rsidP="00D5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E1" w:rsidRPr="00D51F00" w:rsidRDefault="00744EE1" w:rsidP="00A128F6">
    <w:pPr>
      <w:pStyle w:val="Footer"/>
    </w:pPr>
    <w:r w:rsidRPr="00D51F00">
      <w:t>2014-2016 Base Budget Instructions</w:t>
    </w:r>
    <w:r w:rsidRPr="00D51F00">
      <w:ptab w:relativeTo="margin" w:alignment="right" w:leader="none"/>
    </w:r>
  </w:p>
  <w:p w:rsidR="00744EE1" w:rsidRDefault="00744E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E1" w:rsidRPr="00D51F00" w:rsidRDefault="00744EE1" w:rsidP="00A128F6">
    <w:pPr>
      <w:pStyle w:val="Footer"/>
    </w:pPr>
    <w:r w:rsidRPr="00D51F00">
      <w:t>2014-2016 Base Budget Instructions</w:t>
    </w:r>
    <w:r w:rsidRPr="00D51F00">
      <w:ptab w:relativeTo="margin" w:alignment="right" w:leader="none"/>
    </w:r>
    <w:r>
      <w:t xml:space="preserve">Page </w:t>
    </w:r>
    <w:fldSimple w:instr=" PAGE   \* MERGEFORMAT ">
      <w:r w:rsidR="002906E0">
        <w:rPr>
          <w:noProof/>
        </w:rPr>
        <w:t>4</w:t>
      </w:r>
    </w:fldSimple>
  </w:p>
  <w:p w:rsidR="00744EE1" w:rsidRDefault="00744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EE1" w:rsidRDefault="00744EE1" w:rsidP="00D51F00">
      <w:pPr>
        <w:spacing w:after="0" w:line="240" w:lineRule="auto"/>
      </w:pPr>
      <w:r>
        <w:separator/>
      </w:r>
    </w:p>
  </w:footnote>
  <w:footnote w:type="continuationSeparator" w:id="0">
    <w:p w:rsidR="00744EE1" w:rsidRDefault="00744EE1" w:rsidP="00D51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0D13"/>
    <w:multiLevelType w:val="multilevel"/>
    <w:tmpl w:val="98187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34486"/>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D87055"/>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3">
    <w:nsid w:val="16A60C57"/>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4">
    <w:nsid w:val="1B1821F8"/>
    <w:multiLevelType w:val="hybridMultilevel"/>
    <w:tmpl w:val="D4F0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0149B6"/>
    <w:multiLevelType w:val="multilevel"/>
    <w:tmpl w:val="1100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434EE8"/>
    <w:multiLevelType w:val="multilevel"/>
    <w:tmpl w:val="DE50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19457C"/>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8">
    <w:nsid w:val="3F100C44"/>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9">
    <w:nsid w:val="406763E8"/>
    <w:multiLevelType w:val="hybridMultilevel"/>
    <w:tmpl w:val="26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F4C69"/>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1">
    <w:nsid w:val="55DF06B4"/>
    <w:multiLevelType w:val="multilevel"/>
    <w:tmpl w:val="BCD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0F2E78"/>
    <w:multiLevelType w:val="multilevel"/>
    <w:tmpl w:val="E3F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37348D"/>
    <w:multiLevelType w:val="hybridMultilevel"/>
    <w:tmpl w:val="896C9360"/>
    <w:lvl w:ilvl="0" w:tplc="C0B8EEB4">
      <w:start w:val="1"/>
      <w:numFmt w:val="decimal"/>
      <w:pStyle w:val="HelpStep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810129"/>
    <w:multiLevelType w:val="multilevel"/>
    <w:tmpl w:val="6520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82112E"/>
    <w:multiLevelType w:val="multilevel"/>
    <w:tmpl w:val="91C834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nsid w:val="69B92594"/>
    <w:multiLevelType w:val="multilevel"/>
    <w:tmpl w:val="A1A4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B03089"/>
    <w:multiLevelType w:val="multilevel"/>
    <w:tmpl w:val="5AA49C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FA297D"/>
    <w:multiLevelType w:val="multilevel"/>
    <w:tmpl w:val="A080F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900FC6"/>
    <w:multiLevelType w:val="multilevel"/>
    <w:tmpl w:val="92E04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0724EE"/>
    <w:multiLevelType w:val="multilevel"/>
    <w:tmpl w:val="D01A29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6"/>
  </w:num>
  <w:num w:numId="2">
    <w:abstractNumId w:val="20"/>
  </w:num>
  <w:num w:numId="3">
    <w:abstractNumId w:val="1"/>
  </w:num>
  <w:num w:numId="4">
    <w:abstractNumId w:val="15"/>
  </w:num>
  <w:num w:numId="5">
    <w:abstractNumId w:val="19"/>
  </w:num>
  <w:num w:numId="6">
    <w:abstractNumId w:val="5"/>
  </w:num>
  <w:num w:numId="7">
    <w:abstractNumId w:val="12"/>
  </w:num>
  <w:num w:numId="8">
    <w:abstractNumId w:val="14"/>
  </w:num>
  <w:num w:numId="9">
    <w:abstractNumId w:val="16"/>
  </w:num>
  <w:num w:numId="10">
    <w:abstractNumId w:val="11"/>
  </w:num>
  <w:num w:numId="11">
    <w:abstractNumId w:val="0"/>
  </w:num>
  <w:num w:numId="12">
    <w:abstractNumId w:val="13"/>
  </w:num>
  <w:num w:numId="13">
    <w:abstractNumId w:val="13"/>
  </w:num>
  <w:num w:numId="14">
    <w:abstractNumId w:val="18"/>
  </w:num>
  <w:num w:numId="15">
    <w:abstractNumId w:val="17"/>
  </w:num>
  <w:num w:numId="16">
    <w:abstractNumId w:val="7"/>
    <w:lvlOverride w:ilvl="0">
      <w:lvl w:ilvl="0">
        <w:start w:val="1193"/>
        <w:numFmt w:val="decimal"/>
        <w:lvlText w:val="%1"/>
        <w:legacy w:legacy="1" w:legacySpace="0" w:legacyIndent="360"/>
        <w:lvlJc w:val="left"/>
        <w:rPr>
          <w:rFonts w:ascii="Arial" w:hAnsi="Arial" w:cs="Arial" w:hint="default"/>
        </w:rPr>
      </w:lvl>
    </w:lvlOverride>
  </w:num>
  <w:num w:numId="17">
    <w:abstractNumId w:val="10"/>
  </w:num>
  <w:num w:numId="18">
    <w:abstractNumId w:val="3"/>
  </w:num>
  <w:num w:numId="19">
    <w:abstractNumId w:val="2"/>
  </w:num>
  <w:num w:numId="20">
    <w:abstractNumId w:val="8"/>
  </w:num>
  <w:num w:numId="21">
    <w:abstractNumId w:val="9"/>
  </w:num>
  <w:num w:numId="22">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437A4"/>
    <w:rsid w:val="00003579"/>
    <w:rsid w:val="00010F24"/>
    <w:rsid w:val="00021334"/>
    <w:rsid w:val="00026A5B"/>
    <w:rsid w:val="00027C95"/>
    <w:rsid w:val="00043FD5"/>
    <w:rsid w:val="000545AE"/>
    <w:rsid w:val="000553DC"/>
    <w:rsid w:val="00063611"/>
    <w:rsid w:val="0006769B"/>
    <w:rsid w:val="00070723"/>
    <w:rsid w:val="00081E64"/>
    <w:rsid w:val="00096F71"/>
    <w:rsid w:val="00096FB9"/>
    <w:rsid w:val="000976A8"/>
    <w:rsid w:val="000A376C"/>
    <w:rsid w:val="000B0F69"/>
    <w:rsid w:val="000B194E"/>
    <w:rsid w:val="000C0DDA"/>
    <w:rsid w:val="000D18B1"/>
    <w:rsid w:val="000D44DC"/>
    <w:rsid w:val="00106223"/>
    <w:rsid w:val="001205F1"/>
    <w:rsid w:val="001311EA"/>
    <w:rsid w:val="00154001"/>
    <w:rsid w:val="00154452"/>
    <w:rsid w:val="001807FE"/>
    <w:rsid w:val="001C4A19"/>
    <w:rsid w:val="001E702C"/>
    <w:rsid w:val="001F18A7"/>
    <w:rsid w:val="00212A86"/>
    <w:rsid w:val="002224D4"/>
    <w:rsid w:val="002269A5"/>
    <w:rsid w:val="002400DA"/>
    <w:rsid w:val="00261E21"/>
    <w:rsid w:val="00262E95"/>
    <w:rsid w:val="00272D33"/>
    <w:rsid w:val="00273233"/>
    <w:rsid w:val="00287890"/>
    <w:rsid w:val="002906E0"/>
    <w:rsid w:val="002B2007"/>
    <w:rsid w:val="002D23BA"/>
    <w:rsid w:val="002D391E"/>
    <w:rsid w:val="002E3265"/>
    <w:rsid w:val="002F2C53"/>
    <w:rsid w:val="00315FC7"/>
    <w:rsid w:val="00327D9F"/>
    <w:rsid w:val="003427A9"/>
    <w:rsid w:val="00346A36"/>
    <w:rsid w:val="00357CA0"/>
    <w:rsid w:val="00365097"/>
    <w:rsid w:val="0038049A"/>
    <w:rsid w:val="00383033"/>
    <w:rsid w:val="003948FA"/>
    <w:rsid w:val="0039796F"/>
    <w:rsid w:val="003A3F89"/>
    <w:rsid w:val="003C05E7"/>
    <w:rsid w:val="003D43EB"/>
    <w:rsid w:val="00417C8B"/>
    <w:rsid w:val="00440C4F"/>
    <w:rsid w:val="00445552"/>
    <w:rsid w:val="0045762D"/>
    <w:rsid w:val="004612F4"/>
    <w:rsid w:val="00484A04"/>
    <w:rsid w:val="00494D5B"/>
    <w:rsid w:val="004A3372"/>
    <w:rsid w:val="004A640F"/>
    <w:rsid w:val="004C1D4D"/>
    <w:rsid w:val="004C2FD7"/>
    <w:rsid w:val="004C3188"/>
    <w:rsid w:val="004F6072"/>
    <w:rsid w:val="00510443"/>
    <w:rsid w:val="005277D3"/>
    <w:rsid w:val="005859B3"/>
    <w:rsid w:val="00593EB8"/>
    <w:rsid w:val="005A0CB3"/>
    <w:rsid w:val="005A6631"/>
    <w:rsid w:val="005B4E55"/>
    <w:rsid w:val="005C05B3"/>
    <w:rsid w:val="005D67BC"/>
    <w:rsid w:val="005E4200"/>
    <w:rsid w:val="00610706"/>
    <w:rsid w:val="00614438"/>
    <w:rsid w:val="00624CF8"/>
    <w:rsid w:val="00643509"/>
    <w:rsid w:val="006437A4"/>
    <w:rsid w:val="006522C9"/>
    <w:rsid w:val="00653D40"/>
    <w:rsid w:val="006639AC"/>
    <w:rsid w:val="006679BF"/>
    <w:rsid w:val="006770B1"/>
    <w:rsid w:val="00696E3F"/>
    <w:rsid w:val="006A56D2"/>
    <w:rsid w:val="006D0709"/>
    <w:rsid w:val="006E197C"/>
    <w:rsid w:val="006E237E"/>
    <w:rsid w:val="006F23AE"/>
    <w:rsid w:val="00714C3C"/>
    <w:rsid w:val="00736732"/>
    <w:rsid w:val="00744EE1"/>
    <w:rsid w:val="00747C5B"/>
    <w:rsid w:val="00752E04"/>
    <w:rsid w:val="00760D29"/>
    <w:rsid w:val="007636BF"/>
    <w:rsid w:val="00780AD4"/>
    <w:rsid w:val="007A0115"/>
    <w:rsid w:val="007A468B"/>
    <w:rsid w:val="007A7348"/>
    <w:rsid w:val="007B3C59"/>
    <w:rsid w:val="007C3F00"/>
    <w:rsid w:val="00802D93"/>
    <w:rsid w:val="0080406A"/>
    <w:rsid w:val="00804ED8"/>
    <w:rsid w:val="00806F25"/>
    <w:rsid w:val="00811C0C"/>
    <w:rsid w:val="0082417B"/>
    <w:rsid w:val="008270C0"/>
    <w:rsid w:val="0083661F"/>
    <w:rsid w:val="0084013A"/>
    <w:rsid w:val="00851276"/>
    <w:rsid w:val="008707B6"/>
    <w:rsid w:val="008A2ADD"/>
    <w:rsid w:val="008A37E4"/>
    <w:rsid w:val="008D23CA"/>
    <w:rsid w:val="008D2775"/>
    <w:rsid w:val="008D341F"/>
    <w:rsid w:val="00921F14"/>
    <w:rsid w:val="0093016A"/>
    <w:rsid w:val="0095270B"/>
    <w:rsid w:val="00954646"/>
    <w:rsid w:val="0097437A"/>
    <w:rsid w:val="00980177"/>
    <w:rsid w:val="00987033"/>
    <w:rsid w:val="00990A19"/>
    <w:rsid w:val="009918F6"/>
    <w:rsid w:val="00991C29"/>
    <w:rsid w:val="00995969"/>
    <w:rsid w:val="009A6336"/>
    <w:rsid w:val="009C2644"/>
    <w:rsid w:val="009C43A3"/>
    <w:rsid w:val="009D1299"/>
    <w:rsid w:val="009D2D43"/>
    <w:rsid w:val="009E5F35"/>
    <w:rsid w:val="009E778B"/>
    <w:rsid w:val="00A02308"/>
    <w:rsid w:val="00A05FB2"/>
    <w:rsid w:val="00A1100A"/>
    <w:rsid w:val="00A128F6"/>
    <w:rsid w:val="00A226F0"/>
    <w:rsid w:val="00A24CDC"/>
    <w:rsid w:val="00A313B6"/>
    <w:rsid w:val="00A61DF5"/>
    <w:rsid w:val="00A670D1"/>
    <w:rsid w:val="00A87B90"/>
    <w:rsid w:val="00A941B1"/>
    <w:rsid w:val="00AC3F08"/>
    <w:rsid w:val="00AC4AD0"/>
    <w:rsid w:val="00AC523E"/>
    <w:rsid w:val="00AC61C9"/>
    <w:rsid w:val="00AE4E36"/>
    <w:rsid w:val="00AF0F9E"/>
    <w:rsid w:val="00B007A6"/>
    <w:rsid w:val="00B03923"/>
    <w:rsid w:val="00B258F0"/>
    <w:rsid w:val="00B3231B"/>
    <w:rsid w:val="00B448D4"/>
    <w:rsid w:val="00B44A2E"/>
    <w:rsid w:val="00B45752"/>
    <w:rsid w:val="00B56BEA"/>
    <w:rsid w:val="00B62D55"/>
    <w:rsid w:val="00B66AF4"/>
    <w:rsid w:val="00B72519"/>
    <w:rsid w:val="00B753D5"/>
    <w:rsid w:val="00B77096"/>
    <w:rsid w:val="00B81441"/>
    <w:rsid w:val="00BC2500"/>
    <w:rsid w:val="00BC690C"/>
    <w:rsid w:val="00BC7A2D"/>
    <w:rsid w:val="00BF3F43"/>
    <w:rsid w:val="00C0310C"/>
    <w:rsid w:val="00C10465"/>
    <w:rsid w:val="00C126F4"/>
    <w:rsid w:val="00C25AC1"/>
    <w:rsid w:val="00C56FD8"/>
    <w:rsid w:val="00C772A3"/>
    <w:rsid w:val="00C91A6B"/>
    <w:rsid w:val="00CB1236"/>
    <w:rsid w:val="00CB51AE"/>
    <w:rsid w:val="00CC63DA"/>
    <w:rsid w:val="00CD6D53"/>
    <w:rsid w:val="00D06BDD"/>
    <w:rsid w:val="00D20B12"/>
    <w:rsid w:val="00D259C7"/>
    <w:rsid w:val="00D27918"/>
    <w:rsid w:val="00D31409"/>
    <w:rsid w:val="00D361B7"/>
    <w:rsid w:val="00D361DE"/>
    <w:rsid w:val="00D51F00"/>
    <w:rsid w:val="00D62FC9"/>
    <w:rsid w:val="00D634E9"/>
    <w:rsid w:val="00D852F4"/>
    <w:rsid w:val="00DA0903"/>
    <w:rsid w:val="00DB26B1"/>
    <w:rsid w:val="00DB5370"/>
    <w:rsid w:val="00DC58AA"/>
    <w:rsid w:val="00DC5E17"/>
    <w:rsid w:val="00DC668B"/>
    <w:rsid w:val="00DD214B"/>
    <w:rsid w:val="00DD6A52"/>
    <w:rsid w:val="00DE08D5"/>
    <w:rsid w:val="00DE6CA6"/>
    <w:rsid w:val="00E21A30"/>
    <w:rsid w:val="00E3444D"/>
    <w:rsid w:val="00E34EE8"/>
    <w:rsid w:val="00E37D37"/>
    <w:rsid w:val="00E40302"/>
    <w:rsid w:val="00E42737"/>
    <w:rsid w:val="00E5268A"/>
    <w:rsid w:val="00E728CC"/>
    <w:rsid w:val="00E84AFB"/>
    <w:rsid w:val="00E850AA"/>
    <w:rsid w:val="00EA094E"/>
    <w:rsid w:val="00EC1B57"/>
    <w:rsid w:val="00EC40F0"/>
    <w:rsid w:val="00EC6786"/>
    <w:rsid w:val="00ED1D07"/>
    <w:rsid w:val="00ED2D57"/>
    <w:rsid w:val="00F160CB"/>
    <w:rsid w:val="00F22E92"/>
    <w:rsid w:val="00F26C91"/>
    <w:rsid w:val="00F374F3"/>
    <w:rsid w:val="00F60E78"/>
    <w:rsid w:val="00F62C85"/>
    <w:rsid w:val="00F7485F"/>
    <w:rsid w:val="00F9209C"/>
    <w:rsid w:val="00F96484"/>
    <w:rsid w:val="00FA1D52"/>
    <w:rsid w:val="00FA47FD"/>
    <w:rsid w:val="00FB0321"/>
    <w:rsid w:val="00FB3FE0"/>
    <w:rsid w:val="00FD0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E9"/>
  </w:style>
  <w:style w:type="paragraph" w:styleId="Heading1">
    <w:name w:val="heading 1"/>
    <w:basedOn w:val="Normal"/>
    <w:link w:val="Heading1Char"/>
    <w:uiPriority w:val="9"/>
    <w:qFormat/>
    <w:rsid w:val="0064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3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3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7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3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7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7A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4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37A4"/>
    <w:rPr>
      <w:rFonts w:ascii="Arial" w:eastAsia="Times New Roman" w:hAnsi="Arial" w:cs="Arial"/>
      <w:vanish/>
      <w:sz w:val="16"/>
      <w:szCs w:val="16"/>
    </w:rPr>
  </w:style>
  <w:style w:type="character" w:styleId="Hyperlink">
    <w:name w:val="Hyperlink"/>
    <w:basedOn w:val="DefaultParagraphFont"/>
    <w:uiPriority w:val="99"/>
    <w:unhideWhenUsed/>
    <w:rsid w:val="006437A4"/>
    <w:rPr>
      <w:color w:val="0000FF"/>
      <w:u w:val="single"/>
    </w:rPr>
  </w:style>
  <w:style w:type="paragraph" w:styleId="NormalWeb">
    <w:name w:val="Normal (Web)"/>
    <w:basedOn w:val="Normal"/>
    <w:uiPriority w:val="99"/>
    <w:semiHidden/>
    <w:unhideWhenUsed/>
    <w:rsid w:val="00643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A4"/>
    <w:rPr>
      <w:b/>
      <w:bCs/>
    </w:rPr>
  </w:style>
  <w:style w:type="paragraph" w:styleId="z-BottomofForm">
    <w:name w:val="HTML Bottom of Form"/>
    <w:basedOn w:val="Normal"/>
    <w:next w:val="Normal"/>
    <w:link w:val="z-BottomofFormChar"/>
    <w:hidden/>
    <w:uiPriority w:val="99"/>
    <w:semiHidden/>
    <w:unhideWhenUsed/>
    <w:rsid w:val="0064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37A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A4"/>
    <w:rPr>
      <w:rFonts w:ascii="Tahoma" w:hAnsi="Tahoma" w:cs="Tahoma"/>
      <w:sz w:val="16"/>
      <w:szCs w:val="16"/>
    </w:rPr>
  </w:style>
  <w:style w:type="paragraph" w:customStyle="1" w:styleId="HelpTopic">
    <w:name w:val="Help Topic"/>
    <w:basedOn w:val="Heading2"/>
    <w:qFormat/>
    <w:rsid w:val="006F23AE"/>
    <w:pPr>
      <w:keepNext/>
      <w:keepLines/>
      <w:spacing w:before="240" w:beforeAutospacing="0" w:after="120" w:afterAutospacing="0"/>
    </w:pPr>
    <w:rPr>
      <w:rFonts w:ascii="Calibri" w:hAnsi="Calibri"/>
      <w:color w:val="4F81BD"/>
    </w:rPr>
  </w:style>
  <w:style w:type="paragraph" w:customStyle="1" w:styleId="HelpSubTopic">
    <w:name w:val="Help Sub Topic"/>
    <w:basedOn w:val="Heading3"/>
    <w:qFormat/>
    <w:rsid w:val="001311EA"/>
    <w:pPr>
      <w:keepNext/>
      <w:keepLines/>
      <w:spacing w:before="120" w:beforeAutospacing="0" w:after="60" w:afterAutospacing="0"/>
      <w:ind w:left="360"/>
    </w:pPr>
    <w:rPr>
      <w:rFonts w:ascii="Calibri" w:hAnsi="Calibri"/>
      <w:color w:val="4F81BD"/>
      <w:sz w:val="32"/>
      <w:szCs w:val="32"/>
    </w:rPr>
  </w:style>
  <w:style w:type="paragraph" w:customStyle="1" w:styleId="HelpStepList">
    <w:name w:val="Help Step List"/>
    <w:basedOn w:val="Normal"/>
    <w:qFormat/>
    <w:rsid w:val="001311EA"/>
    <w:pPr>
      <w:numPr>
        <w:numId w:val="12"/>
      </w:numPr>
      <w:spacing w:after="120" w:line="240" w:lineRule="auto"/>
    </w:pPr>
    <w:rPr>
      <w:rFonts w:ascii="Cambria" w:eastAsia="Cambria" w:hAnsi="Cambria" w:cs="Times New Roman"/>
      <w:sz w:val="24"/>
      <w:szCs w:val="24"/>
    </w:rPr>
  </w:style>
  <w:style w:type="paragraph" w:styleId="ListParagraph">
    <w:name w:val="List Paragraph"/>
    <w:basedOn w:val="Normal"/>
    <w:uiPriority w:val="34"/>
    <w:qFormat/>
    <w:rsid w:val="00614438"/>
    <w:pPr>
      <w:ind w:left="720"/>
      <w:contextualSpacing/>
    </w:pPr>
  </w:style>
  <w:style w:type="paragraph" w:customStyle="1" w:styleId="form">
    <w:name w:val="form"/>
    <w:basedOn w:val="Normal"/>
    <w:rsid w:val="008D23CA"/>
    <w:pPr>
      <w:tabs>
        <w:tab w:val="left" w:pos="360"/>
        <w:tab w:val="left" w:pos="720"/>
        <w:tab w:val="left" w:pos="1080"/>
      </w:tabs>
      <w:spacing w:after="0" w:line="240" w:lineRule="auto"/>
    </w:pPr>
    <w:rPr>
      <w:rFonts w:ascii="Arial" w:eastAsia="Times New Roman" w:hAnsi="Arial" w:cs="Times New Roman"/>
      <w:b/>
      <w:sz w:val="18"/>
      <w:szCs w:val="20"/>
    </w:rPr>
  </w:style>
  <w:style w:type="paragraph" w:customStyle="1" w:styleId="StyleTimesNewRomanAfter4pt">
    <w:name w:val="Style Times New Roman After:  4 pt"/>
    <w:basedOn w:val="Normal"/>
    <w:link w:val="StyleTimesNewRomanAfter4ptChar"/>
    <w:rsid w:val="00003579"/>
    <w:pPr>
      <w:autoSpaceDE w:val="0"/>
      <w:autoSpaceDN w:val="0"/>
      <w:adjustRightInd w:val="0"/>
      <w:spacing w:before="120" w:after="120" w:line="240" w:lineRule="auto"/>
      <w:ind w:firstLine="720"/>
    </w:pPr>
    <w:rPr>
      <w:rFonts w:ascii="Times New Roman" w:eastAsia="Times New Roman" w:hAnsi="Times New Roman" w:cs="Times New Roman"/>
      <w:sz w:val="24"/>
      <w:szCs w:val="20"/>
    </w:rPr>
  </w:style>
  <w:style w:type="table" w:styleId="TableGrid">
    <w:name w:val="Table Grid"/>
    <w:basedOn w:val="TableNormal"/>
    <w:uiPriority w:val="59"/>
    <w:rsid w:val="005D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6E3F"/>
    <w:pPr>
      <w:tabs>
        <w:tab w:val="left" w:pos="360"/>
      </w:tabs>
      <w:spacing w:after="120" w:line="240" w:lineRule="auto"/>
    </w:pPr>
    <w:rPr>
      <w:rFonts w:ascii="Book Antiqua" w:eastAsia="Times New Roman" w:hAnsi="Book Antiqua" w:cs="Times New Roman"/>
      <w:snapToGrid w:val="0"/>
      <w:sz w:val="21"/>
      <w:szCs w:val="20"/>
    </w:rPr>
  </w:style>
  <w:style w:type="character" w:customStyle="1" w:styleId="BodyTextChar">
    <w:name w:val="Body Text Char"/>
    <w:basedOn w:val="DefaultParagraphFont"/>
    <w:link w:val="BodyText"/>
    <w:rsid w:val="00696E3F"/>
    <w:rPr>
      <w:rFonts w:ascii="Book Antiqua" w:eastAsia="Times New Roman" w:hAnsi="Book Antiqua" w:cs="Times New Roman"/>
      <w:snapToGrid w:val="0"/>
      <w:sz w:val="21"/>
      <w:szCs w:val="20"/>
    </w:rPr>
  </w:style>
  <w:style w:type="table" w:customStyle="1" w:styleId="LightShading-Accent11">
    <w:name w:val="Light Shading - Accent 11"/>
    <w:basedOn w:val="TableNormal"/>
    <w:uiPriority w:val="60"/>
    <w:rsid w:val="006522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tlebullets">
    <w:name w:val="little bullets"/>
    <w:basedOn w:val="Normal"/>
    <w:rsid w:val="00B44A2E"/>
    <w:pPr>
      <w:tabs>
        <w:tab w:val="left" w:pos="540"/>
        <w:tab w:val="left" w:pos="900"/>
        <w:tab w:val="left" w:pos="1260"/>
        <w:tab w:val="left" w:pos="1620"/>
        <w:tab w:val="left" w:pos="3240"/>
        <w:tab w:val="left" w:pos="5040"/>
      </w:tabs>
      <w:spacing w:after="120" w:line="240" w:lineRule="atLeast"/>
      <w:ind w:left="900" w:hanging="360"/>
    </w:pPr>
    <w:rPr>
      <w:rFonts w:ascii="Times" w:eastAsia="Times New Roman" w:hAnsi="Times" w:cs="Times New Roman"/>
      <w:sz w:val="24"/>
      <w:szCs w:val="20"/>
    </w:rPr>
  </w:style>
  <w:style w:type="paragraph" w:styleId="Header">
    <w:name w:val="header"/>
    <w:basedOn w:val="Normal"/>
    <w:link w:val="HeaderChar"/>
    <w:uiPriority w:val="99"/>
    <w:semiHidden/>
    <w:unhideWhenUsed/>
    <w:rsid w:val="00D51F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F00"/>
  </w:style>
  <w:style w:type="paragraph" w:styleId="Footer">
    <w:name w:val="footer"/>
    <w:basedOn w:val="Normal"/>
    <w:link w:val="FooterChar"/>
    <w:uiPriority w:val="99"/>
    <w:unhideWhenUsed/>
    <w:rsid w:val="00A128F6"/>
    <w:pPr>
      <w:pBdr>
        <w:top w:val="single" w:sz="18" w:space="1" w:color="4F81BD" w:themeColor="accent1"/>
      </w:pBdr>
      <w:tabs>
        <w:tab w:val="center" w:pos="4680"/>
        <w:tab w:val="right" w:pos="9360"/>
      </w:tabs>
      <w:spacing w:after="0" w:line="240" w:lineRule="auto"/>
    </w:pPr>
  </w:style>
  <w:style w:type="character" w:customStyle="1" w:styleId="FooterChar">
    <w:name w:val="Footer Char"/>
    <w:basedOn w:val="DefaultParagraphFont"/>
    <w:link w:val="Footer"/>
    <w:uiPriority w:val="99"/>
    <w:rsid w:val="00A128F6"/>
  </w:style>
  <w:style w:type="paragraph" w:customStyle="1" w:styleId="SubHeading">
    <w:name w:val="SubHeading"/>
    <w:basedOn w:val="StyleTimesNewRomanAfter4pt"/>
    <w:link w:val="SubHeadingChar"/>
    <w:qFormat/>
    <w:rsid w:val="00804ED8"/>
    <w:pPr>
      <w:tabs>
        <w:tab w:val="left" w:pos="720"/>
      </w:tabs>
      <w:spacing w:after="0"/>
      <w:ind w:firstLine="0"/>
    </w:pPr>
    <w:rPr>
      <w:rFonts w:ascii="Calibri" w:hAnsi="Calibri"/>
      <w:b/>
      <w:bCs/>
      <w:color w:val="4F81BD"/>
      <w:sz w:val="32"/>
      <w:szCs w:val="32"/>
    </w:rPr>
  </w:style>
  <w:style w:type="paragraph" w:customStyle="1" w:styleId="MyHeading">
    <w:name w:val="MyHeading"/>
    <w:basedOn w:val="Heading1"/>
    <w:link w:val="MyHeadingChar"/>
    <w:qFormat/>
    <w:rsid w:val="00804ED8"/>
    <w:pPr>
      <w:spacing w:before="0" w:beforeAutospacing="0" w:after="0" w:afterAutospacing="0"/>
    </w:pPr>
    <w:rPr>
      <w:rFonts w:ascii="Calibri" w:hAnsi="Calibri"/>
      <w:color w:val="4F81BD"/>
      <w:kern w:val="0"/>
    </w:rPr>
  </w:style>
  <w:style w:type="character" w:customStyle="1" w:styleId="StyleTimesNewRomanAfter4ptChar">
    <w:name w:val="Style Times New Roman After:  4 pt Char"/>
    <w:basedOn w:val="DefaultParagraphFont"/>
    <w:link w:val="StyleTimesNewRomanAfter4pt"/>
    <w:rsid w:val="00804ED8"/>
    <w:rPr>
      <w:rFonts w:ascii="Times New Roman" w:eastAsia="Times New Roman" w:hAnsi="Times New Roman" w:cs="Times New Roman"/>
      <w:sz w:val="24"/>
      <w:szCs w:val="20"/>
    </w:rPr>
  </w:style>
  <w:style w:type="character" w:customStyle="1" w:styleId="SubHeadingChar">
    <w:name w:val="SubHeading Char"/>
    <w:basedOn w:val="StyleTimesNewRomanAfter4ptChar"/>
    <w:link w:val="SubHeading"/>
    <w:rsid w:val="00804ED8"/>
  </w:style>
  <w:style w:type="paragraph" w:styleId="TOC1">
    <w:name w:val="toc 1"/>
    <w:basedOn w:val="Normal"/>
    <w:next w:val="Normal"/>
    <w:autoRedefine/>
    <w:uiPriority w:val="39"/>
    <w:unhideWhenUsed/>
    <w:qFormat/>
    <w:rsid w:val="0039796F"/>
    <w:pPr>
      <w:spacing w:before="120" w:after="120"/>
    </w:pPr>
    <w:rPr>
      <w:b/>
      <w:bCs/>
      <w:caps/>
      <w:sz w:val="20"/>
      <w:szCs w:val="20"/>
    </w:rPr>
  </w:style>
  <w:style w:type="character" w:customStyle="1" w:styleId="MyHeadingChar">
    <w:name w:val="MyHeading Char"/>
    <w:basedOn w:val="Heading1Char"/>
    <w:link w:val="MyHeading"/>
    <w:rsid w:val="00804ED8"/>
    <w:rPr>
      <w:rFonts w:ascii="Calibri" w:hAnsi="Calibri"/>
      <w:b/>
      <w:bCs/>
      <w:color w:val="4F81BD"/>
    </w:rPr>
  </w:style>
  <w:style w:type="paragraph" w:styleId="TOC2">
    <w:name w:val="toc 2"/>
    <w:basedOn w:val="Normal"/>
    <w:next w:val="Normal"/>
    <w:autoRedefine/>
    <w:uiPriority w:val="39"/>
    <w:unhideWhenUsed/>
    <w:qFormat/>
    <w:rsid w:val="0039796F"/>
    <w:pPr>
      <w:spacing w:after="0"/>
      <w:ind w:left="220"/>
    </w:pPr>
    <w:rPr>
      <w:smallCaps/>
      <w:sz w:val="20"/>
      <w:szCs w:val="20"/>
    </w:rPr>
  </w:style>
  <w:style w:type="paragraph" w:styleId="TOCHeading">
    <w:name w:val="TOC Heading"/>
    <w:basedOn w:val="Heading1"/>
    <w:next w:val="Normal"/>
    <w:uiPriority w:val="39"/>
    <w:semiHidden/>
    <w:unhideWhenUsed/>
    <w:qFormat/>
    <w:rsid w:val="003979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39796F"/>
    <w:pPr>
      <w:spacing w:after="0"/>
      <w:ind w:left="440"/>
    </w:pPr>
    <w:rPr>
      <w:i/>
      <w:iCs/>
      <w:sz w:val="20"/>
      <w:szCs w:val="20"/>
    </w:rPr>
  </w:style>
  <w:style w:type="paragraph" w:styleId="TOC4">
    <w:name w:val="toc 4"/>
    <w:basedOn w:val="Normal"/>
    <w:next w:val="Normal"/>
    <w:autoRedefine/>
    <w:uiPriority w:val="39"/>
    <w:unhideWhenUsed/>
    <w:rsid w:val="0039796F"/>
    <w:pPr>
      <w:spacing w:after="0"/>
      <w:ind w:left="660"/>
    </w:pPr>
    <w:rPr>
      <w:sz w:val="18"/>
      <w:szCs w:val="18"/>
    </w:rPr>
  </w:style>
  <w:style w:type="paragraph" w:styleId="TOC5">
    <w:name w:val="toc 5"/>
    <w:basedOn w:val="Normal"/>
    <w:next w:val="Normal"/>
    <w:autoRedefine/>
    <w:uiPriority w:val="39"/>
    <w:unhideWhenUsed/>
    <w:rsid w:val="0039796F"/>
    <w:pPr>
      <w:spacing w:after="0"/>
      <w:ind w:left="880"/>
    </w:pPr>
    <w:rPr>
      <w:sz w:val="18"/>
      <w:szCs w:val="18"/>
    </w:rPr>
  </w:style>
  <w:style w:type="paragraph" w:styleId="TOC6">
    <w:name w:val="toc 6"/>
    <w:basedOn w:val="Normal"/>
    <w:next w:val="Normal"/>
    <w:autoRedefine/>
    <w:uiPriority w:val="39"/>
    <w:unhideWhenUsed/>
    <w:rsid w:val="0039796F"/>
    <w:pPr>
      <w:spacing w:after="0"/>
      <w:ind w:left="1100"/>
    </w:pPr>
    <w:rPr>
      <w:sz w:val="18"/>
      <w:szCs w:val="18"/>
    </w:rPr>
  </w:style>
  <w:style w:type="paragraph" w:styleId="TOC7">
    <w:name w:val="toc 7"/>
    <w:basedOn w:val="Normal"/>
    <w:next w:val="Normal"/>
    <w:autoRedefine/>
    <w:uiPriority w:val="39"/>
    <w:unhideWhenUsed/>
    <w:rsid w:val="0039796F"/>
    <w:pPr>
      <w:spacing w:after="0"/>
      <w:ind w:left="1320"/>
    </w:pPr>
    <w:rPr>
      <w:sz w:val="18"/>
      <w:szCs w:val="18"/>
    </w:rPr>
  </w:style>
  <w:style w:type="paragraph" w:styleId="TOC8">
    <w:name w:val="toc 8"/>
    <w:basedOn w:val="Normal"/>
    <w:next w:val="Normal"/>
    <w:autoRedefine/>
    <w:uiPriority w:val="39"/>
    <w:unhideWhenUsed/>
    <w:rsid w:val="0039796F"/>
    <w:pPr>
      <w:spacing w:after="0"/>
      <w:ind w:left="1540"/>
    </w:pPr>
    <w:rPr>
      <w:sz w:val="18"/>
      <w:szCs w:val="18"/>
    </w:rPr>
  </w:style>
  <w:style w:type="paragraph" w:styleId="TOC9">
    <w:name w:val="toc 9"/>
    <w:basedOn w:val="Normal"/>
    <w:next w:val="Normal"/>
    <w:autoRedefine/>
    <w:uiPriority w:val="39"/>
    <w:unhideWhenUsed/>
    <w:rsid w:val="0039796F"/>
    <w:pPr>
      <w:spacing w:after="0"/>
      <w:ind w:left="1760"/>
    </w:pPr>
    <w:rPr>
      <w:sz w:val="18"/>
      <w:szCs w:val="18"/>
    </w:rPr>
  </w:style>
  <w:style w:type="character" w:styleId="FollowedHyperlink">
    <w:name w:val="FollowedHyperlink"/>
    <w:basedOn w:val="DefaultParagraphFont"/>
    <w:uiPriority w:val="99"/>
    <w:semiHidden/>
    <w:unhideWhenUsed/>
    <w:rsid w:val="00CB51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6897406">
      <w:bodyDiv w:val="1"/>
      <w:marLeft w:val="0"/>
      <w:marRight w:val="0"/>
      <w:marTop w:val="0"/>
      <w:marBottom w:val="0"/>
      <w:divBdr>
        <w:top w:val="none" w:sz="0" w:space="0" w:color="auto"/>
        <w:left w:val="none" w:sz="0" w:space="0" w:color="auto"/>
        <w:bottom w:val="none" w:sz="0" w:space="0" w:color="auto"/>
        <w:right w:val="none" w:sz="0" w:space="0" w:color="auto"/>
      </w:divBdr>
      <w:divsChild>
        <w:div w:id="10645016">
          <w:marLeft w:val="0"/>
          <w:marRight w:val="0"/>
          <w:marTop w:val="0"/>
          <w:marBottom w:val="0"/>
          <w:divBdr>
            <w:top w:val="none" w:sz="0" w:space="0" w:color="auto"/>
            <w:left w:val="none" w:sz="0" w:space="0" w:color="auto"/>
            <w:bottom w:val="none" w:sz="0" w:space="0" w:color="auto"/>
            <w:right w:val="none" w:sz="0" w:space="0" w:color="auto"/>
          </w:divBdr>
        </w:div>
        <w:div w:id="444807906">
          <w:marLeft w:val="0"/>
          <w:marRight w:val="0"/>
          <w:marTop w:val="0"/>
          <w:marBottom w:val="0"/>
          <w:divBdr>
            <w:top w:val="none" w:sz="0" w:space="0" w:color="auto"/>
            <w:left w:val="none" w:sz="0" w:space="0" w:color="auto"/>
            <w:bottom w:val="none" w:sz="0" w:space="0" w:color="auto"/>
            <w:right w:val="none" w:sz="0" w:space="0" w:color="auto"/>
          </w:divBdr>
          <w:divsChild>
            <w:div w:id="893463913">
              <w:marLeft w:val="0"/>
              <w:marRight w:val="0"/>
              <w:marTop w:val="0"/>
              <w:marBottom w:val="0"/>
              <w:divBdr>
                <w:top w:val="none" w:sz="0" w:space="0" w:color="auto"/>
                <w:left w:val="none" w:sz="0" w:space="0" w:color="auto"/>
                <w:bottom w:val="none" w:sz="0" w:space="0" w:color="auto"/>
                <w:right w:val="none" w:sz="0" w:space="0" w:color="auto"/>
              </w:divBdr>
            </w:div>
            <w:div w:id="1141381270">
              <w:marLeft w:val="0"/>
              <w:marRight w:val="0"/>
              <w:marTop w:val="0"/>
              <w:marBottom w:val="0"/>
              <w:divBdr>
                <w:top w:val="none" w:sz="0" w:space="0" w:color="auto"/>
                <w:left w:val="none" w:sz="0" w:space="0" w:color="auto"/>
                <w:bottom w:val="none" w:sz="0" w:space="0" w:color="auto"/>
                <w:right w:val="none" w:sz="0" w:space="0" w:color="auto"/>
              </w:divBdr>
              <w:divsChild>
                <w:div w:id="1380402429">
                  <w:marLeft w:val="0"/>
                  <w:marRight w:val="0"/>
                  <w:marTop w:val="0"/>
                  <w:marBottom w:val="0"/>
                  <w:divBdr>
                    <w:top w:val="none" w:sz="0" w:space="0" w:color="auto"/>
                    <w:left w:val="none" w:sz="0" w:space="0" w:color="auto"/>
                    <w:bottom w:val="none" w:sz="0" w:space="0" w:color="auto"/>
                    <w:right w:val="none" w:sz="0" w:space="0" w:color="auto"/>
                  </w:divBdr>
                  <w:divsChild>
                    <w:div w:id="949049126">
                      <w:marLeft w:val="0"/>
                      <w:marRight w:val="0"/>
                      <w:marTop w:val="0"/>
                      <w:marBottom w:val="0"/>
                      <w:divBdr>
                        <w:top w:val="none" w:sz="0" w:space="0" w:color="auto"/>
                        <w:left w:val="none" w:sz="0" w:space="0" w:color="auto"/>
                        <w:bottom w:val="none" w:sz="0" w:space="0" w:color="auto"/>
                        <w:right w:val="none" w:sz="0" w:space="0" w:color="auto"/>
                      </w:divBdr>
                    </w:div>
                    <w:div w:id="1945915464">
                      <w:marLeft w:val="0"/>
                      <w:marRight w:val="0"/>
                      <w:marTop w:val="0"/>
                      <w:marBottom w:val="0"/>
                      <w:divBdr>
                        <w:top w:val="none" w:sz="0" w:space="0" w:color="auto"/>
                        <w:left w:val="none" w:sz="0" w:space="0" w:color="auto"/>
                        <w:bottom w:val="none" w:sz="0" w:space="0" w:color="auto"/>
                        <w:right w:val="none" w:sz="0" w:space="0" w:color="auto"/>
                      </w:divBdr>
                    </w:div>
                    <w:div w:id="206339114">
                      <w:marLeft w:val="0"/>
                      <w:marRight w:val="0"/>
                      <w:marTop w:val="0"/>
                      <w:marBottom w:val="0"/>
                      <w:divBdr>
                        <w:top w:val="none" w:sz="0" w:space="0" w:color="auto"/>
                        <w:left w:val="none" w:sz="0" w:space="0" w:color="auto"/>
                        <w:bottom w:val="none" w:sz="0" w:space="0" w:color="auto"/>
                        <w:right w:val="none" w:sz="0" w:space="0" w:color="auto"/>
                      </w:divBdr>
                    </w:div>
                    <w:div w:id="90275730">
                      <w:marLeft w:val="0"/>
                      <w:marRight w:val="0"/>
                      <w:marTop w:val="0"/>
                      <w:marBottom w:val="0"/>
                      <w:divBdr>
                        <w:top w:val="none" w:sz="0" w:space="0" w:color="auto"/>
                        <w:left w:val="none" w:sz="0" w:space="0" w:color="auto"/>
                        <w:bottom w:val="none" w:sz="0" w:space="0" w:color="auto"/>
                        <w:right w:val="none" w:sz="0" w:space="0" w:color="auto"/>
                      </w:divBdr>
                    </w:div>
                    <w:div w:id="741298255">
                      <w:marLeft w:val="0"/>
                      <w:marRight w:val="0"/>
                      <w:marTop w:val="0"/>
                      <w:marBottom w:val="0"/>
                      <w:divBdr>
                        <w:top w:val="none" w:sz="0" w:space="0" w:color="auto"/>
                        <w:left w:val="none" w:sz="0" w:space="0" w:color="auto"/>
                        <w:bottom w:val="none" w:sz="0" w:space="0" w:color="auto"/>
                        <w:right w:val="none" w:sz="0" w:space="0" w:color="auto"/>
                      </w:divBdr>
                    </w:div>
                    <w:div w:id="431125365">
                      <w:marLeft w:val="0"/>
                      <w:marRight w:val="0"/>
                      <w:marTop w:val="0"/>
                      <w:marBottom w:val="0"/>
                      <w:divBdr>
                        <w:top w:val="none" w:sz="0" w:space="0" w:color="auto"/>
                        <w:left w:val="none" w:sz="0" w:space="0" w:color="auto"/>
                        <w:bottom w:val="none" w:sz="0" w:space="0" w:color="auto"/>
                        <w:right w:val="none" w:sz="0" w:space="0" w:color="auto"/>
                      </w:divBdr>
                    </w:div>
                    <w:div w:id="2021468073">
                      <w:marLeft w:val="0"/>
                      <w:marRight w:val="0"/>
                      <w:marTop w:val="0"/>
                      <w:marBottom w:val="0"/>
                      <w:divBdr>
                        <w:top w:val="none" w:sz="0" w:space="0" w:color="auto"/>
                        <w:left w:val="none" w:sz="0" w:space="0" w:color="auto"/>
                        <w:bottom w:val="none" w:sz="0" w:space="0" w:color="auto"/>
                        <w:right w:val="none" w:sz="0" w:space="0" w:color="auto"/>
                      </w:divBdr>
                    </w:div>
                    <w:div w:id="612975824">
                      <w:marLeft w:val="0"/>
                      <w:marRight w:val="0"/>
                      <w:marTop w:val="0"/>
                      <w:marBottom w:val="0"/>
                      <w:divBdr>
                        <w:top w:val="none" w:sz="0" w:space="0" w:color="auto"/>
                        <w:left w:val="none" w:sz="0" w:space="0" w:color="auto"/>
                        <w:bottom w:val="none" w:sz="0" w:space="0" w:color="auto"/>
                        <w:right w:val="none" w:sz="0" w:space="0" w:color="auto"/>
                      </w:divBdr>
                    </w:div>
                    <w:div w:id="155847810">
                      <w:marLeft w:val="0"/>
                      <w:marRight w:val="0"/>
                      <w:marTop w:val="0"/>
                      <w:marBottom w:val="0"/>
                      <w:divBdr>
                        <w:top w:val="none" w:sz="0" w:space="0" w:color="auto"/>
                        <w:left w:val="none" w:sz="0" w:space="0" w:color="auto"/>
                        <w:bottom w:val="none" w:sz="0" w:space="0" w:color="auto"/>
                        <w:right w:val="none" w:sz="0" w:space="0" w:color="auto"/>
                      </w:divBdr>
                    </w:div>
                    <w:div w:id="1484659266">
                      <w:marLeft w:val="0"/>
                      <w:marRight w:val="0"/>
                      <w:marTop w:val="0"/>
                      <w:marBottom w:val="0"/>
                      <w:divBdr>
                        <w:top w:val="none" w:sz="0" w:space="0" w:color="auto"/>
                        <w:left w:val="none" w:sz="0" w:space="0" w:color="auto"/>
                        <w:bottom w:val="none" w:sz="0" w:space="0" w:color="auto"/>
                        <w:right w:val="none" w:sz="0" w:space="0" w:color="auto"/>
                      </w:divBdr>
                    </w:div>
                    <w:div w:id="1396706724">
                      <w:marLeft w:val="0"/>
                      <w:marRight w:val="0"/>
                      <w:marTop w:val="0"/>
                      <w:marBottom w:val="0"/>
                      <w:divBdr>
                        <w:top w:val="none" w:sz="0" w:space="0" w:color="auto"/>
                        <w:left w:val="none" w:sz="0" w:space="0" w:color="auto"/>
                        <w:bottom w:val="none" w:sz="0" w:space="0" w:color="auto"/>
                        <w:right w:val="none" w:sz="0" w:space="0" w:color="auto"/>
                      </w:divBdr>
                    </w:div>
                    <w:div w:id="1269040645">
                      <w:marLeft w:val="0"/>
                      <w:marRight w:val="0"/>
                      <w:marTop w:val="0"/>
                      <w:marBottom w:val="0"/>
                      <w:divBdr>
                        <w:top w:val="none" w:sz="0" w:space="0" w:color="auto"/>
                        <w:left w:val="none" w:sz="0" w:space="0" w:color="auto"/>
                        <w:bottom w:val="none" w:sz="0" w:space="0" w:color="auto"/>
                        <w:right w:val="none" w:sz="0" w:space="0" w:color="auto"/>
                      </w:divBdr>
                    </w:div>
                    <w:div w:id="2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9937">
              <w:marLeft w:val="0"/>
              <w:marRight w:val="0"/>
              <w:marTop w:val="0"/>
              <w:marBottom w:val="0"/>
              <w:divBdr>
                <w:top w:val="none" w:sz="0" w:space="0" w:color="auto"/>
                <w:left w:val="none" w:sz="0" w:space="0" w:color="auto"/>
                <w:bottom w:val="none" w:sz="0" w:space="0" w:color="auto"/>
                <w:right w:val="none" w:sz="0" w:space="0" w:color="auto"/>
              </w:divBdr>
              <w:divsChild>
                <w:div w:id="96146313">
                  <w:marLeft w:val="0"/>
                  <w:marRight w:val="0"/>
                  <w:marTop w:val="0"/>
                  <w:marBottom w:val="0"/>
                  <w:divBdr>
                    <w:top w:val="none" w:sz="0" w:space="0" w:color="auto"/>
                    <w:left w:val="none" w:sz="0" w:space="0" w:color="auto"/>
                    <w:bottom w:val="none" w:sz="0" w:space="0" w:color="auto"/>
                    <w:right w:val="none" w:sz="0" w:space="0" w:color="auto"/>
                  </w:divBdr>
                  <w:divsChild>
                    <w:div w:id="1219828967">
                      <w:marLeft w:val="0"/>
                      <w:marRight w:val="0"/>
                      <w:marTop w:val="0"/>
                      <w:marBottom w:val="0"/>
                      <w:divBdr>
                        <w:top w:val="none" w:sz="0" w:space="0" w:color="auto"/>
                        <w:left w:val="none" w:sz="0" w:space="0" w:color="auto"/>
                        <w:bottom w:val="none" w:sz="0" w:space="0" w:color="auto"/>
                        <w:right w:val="none" w:sz="0" w:space="0" w:color="auto"/>
                      </w:divBdr>
                    </w:div>
                    <w:div w:id="1324162361">
                      <w:marLeft w:val="0"/>
                      <w:marRight w:val="0"/>
                      <w:marTop w:val="0"/>
                      <w:marBottom w:val="0"/>
                      <w:divBdr>
                        <w:top w:val="none" w:sz="0" w:space="0" w:color="auto"/>
                        <w:left w:val="none" w:sz="0" w:space="0" w:color="auto"/>
                        <w:bottom w:val="none" w:sz="0" w:space="0" w:color="auto"/>
                        <w:right w:val="none" w:sz="0" w:space="0" w:color="auto"/>
                      </w:divBdr>
                    </w:div>
                    <w:div w:id="1841501801">
                      <w:marLeft w:val="0"/>
                      <w:marRight w:val="0"/>
                      <w:marTop w:val="0"/>
                      <w:marBottom w:val="0"/>
                      <w:divBdr>
                        <w:top w:val="none" w:sz="0" w:space="0" w:color="auto"/>
                        <w:left w:val="none" w:sz="0" w:space="0" w:color="auto"/>
                        <w:bottom w:val="none" w:sz="0" w:space="0" w:color="auto"/>
                        <w:right w:val="none" w:sz="0" w:space="0" w:color="auto"/>
                      </w:divBdr>
                    </w:div>
                    <w:div w:id="730930915">
                      <w:marLeft w:val="0"/>
                      <w:marRight w:val="0"/>
                      <w:marTop w:val="0"/>
                      <w:marBottom w:val="0"/>
                      <w:divBdr>
                        <w:top w:val="none" w:sz="0" w:space="0" w:color="auto"/>
                        <w:left w:val="none" w:sz="0" w:space="0" w:color="auto"/>
                        <w:bottom w:val="none" w:sz="0" w:space="0" w:color="auto"/>
                        <w:right w:val="none" w:sz="0" w:space="0" w:color="auto"/>
                      </w:divBdr>
                    </w:div>
                    <w:div w:id="1788308946">
                      <w:marLeft w:val="0"/>
                      <w:marRight w:val="0"/>
                      <w:marTop w:val="0"/>
                      <w:marBottom w:val="0"/>
                      <w:divBdr>
                        <w:top w:val="none" w:sz="0" w:space="0" w:color="auto"/>
                        <w:left w:val="none" w:sz="0" w:space="0" w:color="auto"/>
                        <w:bottom w:val="none" w:sz="0" w:space="0" w:color="auto"/>
                        <w:right w:val="none" w:sz="0" w:space="0" w:color="auto"/>
                      </w:divBdr>
                    </w:div>
                    <w:div w:id="962884177">
                      <w:marLeft w:val="0"/>
                      <w:marRight w:val="0"/>
                      <w:marTop w:val="0"/>
                      <w:marBottom w:val="0"/>
                      <w:divBdr>
                        <w:top w:val="none" w:sz="0" w:space="0" w:color="auto"/>
                        <w:left w:val="none" w:sz="0" w:space="0" w:color="auto"/>
                        <w:bottom w:val="none" w:sz="0" w:space="0" w:color="auto"/>
                        <w:right w:val="none" w:sz="0" w:space="0" w:color="auto"/>
                      </w:divBdr>
                    </w:div>
                    <w:div w:id="1014384605">
                      <w:marLeft w:val="0"/>
                      <w:marRight w:val="0"/>
                      <w:marTop w:val="0"/>
                      <w:marBottom w:val="0"/>
                      <w:divBdr>
                        <w:top w:val="none" w:sz="0" w:space="0" w:color="auto"/>
                        <w:left w:val="none" w:sz="0" w:space="0" w:color="auto"/>
                        <w:bottom w:val="none" w:sz="0" w:space="0" w:color="auto"/>
                        <w:right w:val="none" w:sz="0" w:space="0" w:color="auto"/>
                      </w:divBdr>
                    </w:div>
                    <w:div w:id="1076050707">
                      <w:marLeft w:val="0"/>
                      <w:marRight w:val="0"/>
                      <w:marTop w:val="0"/>
                      <w:marBottom w:val="0"/>
                      <w:divBdr>
                        <w:top w:val="none" w:sz="0" w:space="0" w:color="auto"/>
                        <w:left w:val="none" w:sz="0" w:space="0" w:color="auto"/>
                        <w:bottom w:val="none" w:sz="0" w:space="0" w:color="auto"/>
                        <w:right w:val="none" w:sz="0" w:space="0" w:color="auto"/>
                      </w:divBdr>
                    </w:div>
                    <w:div w:id="1646816661">
                      <w:marLeft w:val="0"/>
                      <w:marRight w:val="0"/>
                      <w:marTop w:val="0"/>
                      <w:marBottom w:val="0"/>
                      <w:divBdr>
                        <w:top w:val="none" w:sz="0" w:space="0" w:color="auto"/>
                        <w:left w:val="none" w:sz="0" w:space="0" w:color="auto"/>
                        <w:bottom w:val="none" w:sz="0" w:space="0" w:color="auto"/>
                        <w:right w:val="none" w:sz="0" w:space="0" w:color="auto"/>
                      </w:divBdr>
                      <w:divsChild>
                        <w:div w:id="135365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9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6080">
                      <w:marLeft w:val="0"/>
                      <w:marRight w:val="0"/>
                      <w:marTop w:val="0"/>
                      <w:marBottom w:val="0"/>
                      <w:divBdr>
                        <w:top w:val="none" w:sz="0" w:space="0" w:color="auto"/>
                        <w:left w:val="none" w:sz="0" w:space="0" w:color="auto"/>
                        <w:bottom w:val="none" w:sz="0" w:space="0" w:color="auto"/>
                        <w:right w:val="none" w:sz="0" w:space="0" w:color="auto"/>
                      </w:divBdr>
                      <w:divsChild>
                        <w:div w:id="783155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00142931">
                      <w:marLeft w:val="0"/>
                      <w:marRight w:val="0"/>
                      <w:marTop w:val="0"/>
                      <w:marBottom w:val="0"/>
                      <w:divBdr>
                        <w:top w:val="none" w:sz="0" w:space="0" w:color="auto"/>
                        <w:left w:val="none" w:sz="0" w:space="0" w:color="auto"/>
                        <w:bottom w:val="none" w:sz="0" w:space="0" w:color="auto"/>
                        <w:right w:val="none" w:sz="0" w:space="0" w:color="auto"/>
                      </w:divBdr>
                    </w:div>
                    <w:div w:id="1373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873081">
      <w:bodyDiv w:val="1"/>
      <w:marLeft w:val="0"/>
      <w:marRight w:val="0"/>
      <w:marTop w:val="0"/>
      <w:marBottom w:val="0"/>
      <w:divBdr>
        <w:top w:val="none" w:sz="0" w:space="0" w:color="auto"/>
        <w:left w:val="none" w:sz="0" w:space="0" w:color="auto"/>
        <w:bottom w:val="none" w:sz="0" w:space="0" w:color="auto"/>
        <w:right w:val="none" w:sz="0" w:space="0" w:color="auto"/>
      </w:divBdr>
    </w:div>
    <w:div w:id="513962484">
      <w:bodyDiv w:val="1"/>
      <w:marLeft w:val="0"/>
      <w:marRight w:val="0"/>
      <w:marTop w:val="0"/>
      <w:marBottom w:val="0"/>
      <w:divBdr>
        <w:top w:val="none" w:sz="0" w:space="0" w:color="auto"/>
        <w:left w:val="none" w:sz="0" w:space="0" w:color="auto"/>
        <w:bottom w:val="none" w:sz="0" w:space="0" w:color="auto"/>
        <w:right w:val="none" w:sz="0" w:space="0" w:color="auto"/>
      </w:divBdr>
    </w:div>
    <w:div w:id="646015260">
      <w:bodyDiv w:val="1"/>
      <w:marLeft w:val="0"/>
      <w:marRight w:val="0"/>
      <w:marTop w:val="0"/>
      <w:marBottom w:val="0"/>
      <w:divBdr>
        <w:top w:val="none" w:sz="0" w:space="0" w:color="auto"/>
        <w:left w:val="none" w:sz="0" w:space="0" w:color="auto"/>
        <w:bottom w:val="none" w:sz="0" w:space="0" w:color="auto"/>
        <w:right w:val="none" w:sz="0" w:space="0" w:color="auto"/>
      </w:divBdr>
    </w:div>
    <w:div w:id="665134880">
      <w:bodyDiv w:val="1"/>
      <w:marLeft w:val="0"/>
      <w:marRight w:val="0"/>
      <w:marTop w:val="0"/>
      <w:marBottom w:val="0"/>
      <w:divBdr>
        <w:top w:val="none" w:sz="0" w:space="0" w:color="auto"/>
        <w:left w:val="none" w:sz="0" w:space="0" w:color="auto"/>
        <w:bottom w:val="none" w:sz="0" w:space="0" w:color="auto"/>
        <w:right w:val="none" w:sz="0" w:space="0" w:color="auto"/>
      </w:divBdr>
    </w:div>
    <w:div w:id="1050616817">
      <w:bodyDiv w:val="1"/>
      <w:marLeft w:val="0"/>
      <w:marRight w:val="0"/>
      <w:marTop w:val="0"/>
      <w:marBottom w:val="0"/>
      <w:divBdr>
        <w:top w:val="none" w:sz="0" w:space="0" w:color="auto"/>
        <w:left w:val="none" w:sz="0" w:space="0" w:color="auto"/>
        <w:bottom w:val="none" w:sz="0" w:space="0" w:color="auto"/>
        <w:right w:val="none" w:sz="0" w:space="0" w:color="auto"/>
      </w:divBdr>
    </w:div>
    <w:div w:id="1197935139">
      <w:bodyDiv w:val="1"/>
      <w:marLeft w:val="0"/>
      <w:marRight w:val="0"/>
      <w:marTop w:val="0"/>
      <w:marBottom w:val="0"/>
      <w:divBdr>
        <w:top w:val="none" w:sz="0" w:space="0" w:color="auto"/>
        <w:left w:val="none" w:sz="0" w:space="0" w:color="auto"/>
        <w:bottom w:val="none" w:sz="0" w:space="0" w:color="auto"/>
        <w:right w:val="none" w:sz="0" w:space="0" w:color="auto"/>
      </w:divBdr>
    </w:div>
    <w:div w:id="1319379401">
      <w:bodyDiv w:val="1"/>
      <w:marLeft w:val="0"/>
      <w:marRight w:val="0"/>
      <w:marTop w:val="0"/>
      <w:marBottom w:val="0"/>
      <w:divBdr>
        <w:top w:val="none" w:sz="0" w:space="0" w:color="auto"/>
        <w:left w:val="none" w:sz="0" w:space="0" w:color="auto"/>
        <w:bottom w:val="none" w:sz="0" w:space="0" w:color="auto"/>
        <w:right w:val="none" w:sz="0" w:space="0" w:color="auto"/>
      </w:divBdr>
      <w:divsChild>
        <w:div w:id="25565826">
          <w:marLeft w:val="0"/>
          <w:marRight w:val="0"/>
          <w:marTop w:val="0"/>
          <w:marBottom w:val="0"/>
          <w:divBdr>
            <w:top w:val="none" w:sz="0" w:space="0" w:color="auto"/>
            <w:left w:val="none" w:sz="0" w:space="0" w:color="auto"/>
            <w:bottom w:val="none" w:sz="0" w:space="0" w:color="auto"/>
            <w:right w:val="none" w:sz="0" w:space="0" w:color="auto"/>
          </w:divBdr>
        </w:div>
        <w:div w:id="1359045057">
          <w:marLeft w:val="0"/>
          <w:marRight w:val="0"/>
          <w:marTop w:val="0"/>
          <w:marBottom w:val="0"/>
          <w:divBdr>
            <w:top w:val="none" w:sz="0" w:space="0" w:color="auto"/>
            <w:left w:val="none" w:sz="0" w:space="0" w:color="auto"/>
            <w:bottom w:val="none" w:sz="0" w:space="0" w:color="auto"/>
            <w:right w:val="none" w:sz="0" w:space="0" w:color="auto"/>
          </w:divBdr>
          <w:divsChild>
            <w:div w:id="143014379">
              <w:marLeft w:val="0"/>
              <w:marRight w:val="0"/>
              <w:marTop w:val="0"/>
              <w:marBottom w:val="0"/>
              <w:divBdr>
                <w:top w:val="none" w:sz="0" w:space="0" w:color="auto"/>
                <w:left w:val="none" w:sz="0" w:space="0" w:color="auto"/>
                <w:bottom w:val="none" w:sz="0" w:space="0" w:color="auto"/>
                <w:right w:val="none" w:sz="0" w:space="0" w:color="auto"/>
              </w:divBdr>
            </w:div>
            <w:div w:id="1754735623">
              <w:marLeft w:val="0"/>
              <w:marRight w:val="0"/>
              <w:marTop w:val="0"/>
              <w:marBottom w:val="0"/>
              <w:divBdr>
                <w:top w:val="none" w:sz="0" w:space="0" w:color="auto"/>
                <w:left w:val="none" w:sz="0" w:space="0" w:color="auto"/>
                <w:bottom w:val="none" w:sz="0" w:space="0" w:color="auto"/>
                <w:right w:val="none" w:sz="0" w:space="0" w:color="auto"/>
              </w:divBdr>
              <w:divsChild>
                <w:div w:id="355273952">
                  <w:marLeft w:val="0"/>
                  <w:marRight w:val="0"/>
                  <w:marTop w:val="0"/>
                  <w:marBottom w:val="0"/>
                  <w:divBdr>
                    <w:top w:val="none" w:sz="0" w:space="0" w:color="auto"/>
                    <w:left w:val="none" w:sz="0" w:space="0" w:color="auto"/>
                    <w:bottom w:val="none" w:sz="0" w:space="0" w:color="auto"/>
                    <w:right w:val="none" w:sz="0" w:space="0" w:color="auto"/>
                  </w:divBdr>
                  <w:divsChild>
                    <w:div w:id="370307377">
                      <w:marLeft w:val="0"/>
                      <w:marRight w:val="0"/>
                      <w:marTop w:val="0"/>
                      <w:marBottom w:val="0"/>
                      <w:divBdr>
                        <w:top w:val="none" w:sz="0" w:space="0" w:color="auto"/>
                        <w:left w:val="none" w:sz="0" w:space="0" w:color="auto"/>
                        <w:bottom w:val="none" w:sz="0" w:space="0" w:color="auto"/>
                        <w:right w:val="none" w:sz="0" w:space="0" w:color="auto"/>
                      </w:divBdr>
                    </w:div>
                    <w:div w:id="159272996">
                      <w:marLeft w:val="0"/>
                      <w:marRight w:val="0"/>
                      <w:marTop w:val="0"/>
                      <w:marBottom w:val="0"/>
                      <w:divBdr>
                        <w:top w:val="none" w:sz="0" w:space="0" w:color="auto"/>
                        <w:left w:val="none" w:sz="0" w:space="0" w:color="auto"/>
                        <w:bottom w:val="none" w:sz="0" w:space="0" w:color="auto"/>
                        <w:right w:val="none" w:sz="0" w:space="0" w:color="auto"/>
                      </w:divBdr>
                    </w:div>
                    <w:div w:id="246571940">
                      <w:marLeft w:val="0"/>
                      <w:marRight w:val="0"/>
                      <w:marTop w:val="0"/>
                      <w:marBottom w:val="0"/>
                      <w:divBdr>
                        <w:top w:val="none" w:sz="0" w:space="0" w:color="auto"/>
                        <w:left w:val="none" w:sz="0" w:space="0" w:color="auto"/>
                        <w:bottom w:val="none" w:sz="0" w:space="0" w:color="auto"/>
                        <w:right w:val="none" w:sz="0" w:space="0" w:color="auto"/>
                      </w:divBdr>
                    </w:div>
                    <w:div w:id="1056975269">
                      <w:marLeft w:val="0"/>
                      <w:marRight w:val="0"/>
                      <w:marTop w:val="0"/>
                      <w:marBottom w:val="0"/>
                      <w:divBdr>
                        <w:top w:val="none" w:sz="0" w:space="0" w:color="auto"/>
                        <w:left w:val="none" w:sz="0" w:space="0" w:color="auto"/>
                        <w:bottom w:val="none" w:sz="0" w:space="0" w:color="auto"/>
                        <w:right w:val="none" w:sz="0" w:space="0" w:color="auto"/>
                      </w:divBdr>
                    </w:div>
                    <w:div w:id="932326250">
                      <w:marLeft w:val="0"/>
                      <w:marRight w:val="0"/>
                      <w:marTop w:val="0"/>
                      <w:marBottom w:val="0"/>
                      <w:divBdr>
                        <w:top w:val="none" w:sz="0" w:space="0" w:color="auto"/>
                        <w:left w:val="none" w:sz="0" w:space="0" w:color="auto"/>
                        <w:bottom w:val="none" w:sz="0" w:space="0" w:color="auto"/>
                        <w:right w:val="none" w:sz="0" w:space="0" w:color="auto"/>
                      </w:divBdr>
                    </w:div>
                    <w:div w:id="318775835">
                      <w:marLeft w:val="0"/>
                      <w:marRight w:val="0"/>
                      <w:marTop w:val="0"/>
                      <w:marBottom w:val="0"/>
                      <w:divBdr>
                        <w:top w:val="none" w:sz="0" w:space="0" w:color="auto"/>
                        <w:left w:val="none" w:sz="0" w:space="0" w:color="auto"/>
                        <w:bottom w:val="none" w:sz="0" w:space="0" w:color="auto"/>
                        <w:right w:val="none" w:sz="0" w:space="0" w:color="auto"/>
                      </w:divBdr>
                    </w:div>
                    <w:div w:id="2037153720">
                      <w:marLeft w:val="0"/>
                      <w:marRight w:val="0"/>
                      <w:marTop w:val="0"/>
                      <w:marBottom w:val="0"/>
                      <w:divBdr>
                        <w:top w:val="none" w:sz="0" w:space="0" w:color="auto"/>
                        <w:left w:val="none" w:sz="0" w:space="0" w:color="auto"/>
                        <w:bottom w:val="none" w:sz="0" w:space="0" w:color="auto"/>
                        <w:right w:val="none" w:sz="0" w:space="0" w:color="auto"/>
                      </w:divBdr>
                    </w:div>
                    <w:div w:id="1925995524">
                      <w:marLeft w:val="0"/>
                      <w:marRight w:val="0"/>
                      <w:marTop w:val="0"/>
                      <w:marBottom w:val="0"/>
                      <w:divBdr>
                        <w:top w:val="none" w:sz="0" w:space="0" w:color="auto"/>
                        <w:left w:val="none" w:sz="0" w:space="0" w:color="auto"/>
                        <w:bottom w:val="none" w:sz="0" w:space="0" w:color="auto"/>
                        <w:right w:val="none" w:sz="0" w:space="0" w:color="auto"/>
                      </w:divBdr>
                    </w:div>
                    <w:div w:id="610934208">
                      <w:marLeft w:val="0"/>
                      <w:marRight w:val="0"/>
                      <w:marTop w:val="0"/>
                      <w:marBottom w:val="0"/>
                      <w:divBdr>
                        <w:top w:val="none" w:sz="0" w:space="0" w:color="auto"/>
                        <w:left w:val="none" w:sz="0" w:space="0" w:color="auto"/>
                        <w:bottom w:val="none" w:sz="0" w:space="0" w:color="auto"/>
                        <w:right w:val="none" w:sz="0" w:space="0" w:color="auto"/>
                      </w:divBdr>
                    </w:div>
                    <w:div w:id="1673990531">
                      <w:marLeft w:val="0"/>
                      <w:marRight w:val="0"/>
                      <w:marTop w:val="0"/>
                      <w:marBottom w:val="0"/>
                      <w:divBdr>
                        <w:top w:val="none" w:sz="0" w:space="0" w:color="auto"/>
                        <w:left w:val="none" w:sz="0" w:space="0" w:color="auto"/>
                        <w:bottom w:val="none" w:sz="0" w:space="0" w:color="auto"/>
                        <w:right w:val="none" w:sz="0" w:space="0" w:color="auto"/>
                      </w:divBdr>
                    </w:div>
                    <w:div w:id="1331831667">
                      <w:marLeft w:val="0"/>
                      <w:marRight w:val="0"/>
                      <w:marTop w:val="0"/>
                      <w:marBottom w:val="0"/>
                      <w:divBdr>
                        <w:top w:val="none" w:sz="0" w:space="0" w:color="auto"/>
                        <w:left w:val="none" w:sz="0" w:space="0" w:color="auto"/>
                        <w:bottom w:val="none" w:sz="0" w:space="0" w:color="auto"/>
                        <w:right w:val="none" w:sz="0" w:space="0" w:color="auto"/>
                      </w:divBdr>
                    </w:div>
                    <w:div w:id="266039184">
                      <w:marLeft w:val="0"/>
                      <w:marRight w:val="0"/>
                      <w:marTop w:val="0"/>
                      <w:marBottom w:val="0"/>
                      <w:divBdr>
                        <w:top w:val="none" w:sz="0" w:space="0" w:color="auto"/>
                        <w:left w:val="none" w:sz="0" w:space="0" w:color="auto"/>
                        <w:bottom w:val="none" w:sz="0" w:space="0" w:color="auto"/>
                        <w:right w:val="none" w:sz="0" w:space="0" w:color="auto"/>
                      </w:divBdr>
                    </w:div>
                    <w:div w:id="588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673">
              <w:marLeft w:val="0"/>
              <w:marRight w:val="0"/>
              <w:marTop w:val="0"/>
              <w:marBottom w:val="0"/>
              <w:divBdr>
                <w:top w:val="none" w:sz="0" w:space="0" w:color="auto"/>
                <w:left w:val="none" w:sz="0" w:space="0" w:color="auto"/>
                <w:bottom w:val="none" w:sz="0" w:space="0" w:color="auto"/>
                <w:right w:val="none" w:sz="0" w:space="0" w:color="auto"/>
              </w:divBdr>
              <w:divsChild>
                <w:div w:id="881985750">
                  <w:marLeft w:val="0"/>
                  <w:marRight w:val="0"/>
                  <w:marTop w:val="0"/>
                  <w:marBottom w:val="0"/>
                  <w:divBdr>
                    <w:top w:val="none" w:sz="0" w:space="0" w:color="auto"/>
                    <w:left w:val="none" w:sz="0" w:space="0" w:color="auto"/>
                    <w:bottom w:val="none" w:sz="0" w:space="0" w:color="auto"/>
                    <w:right w:val="none" w:sz="0" w:space="0" w:color="auto"/>
                  </w:divBdr>
                  <w:divsChild>
                    <w:div w:id="616572401">
                      <w:marLeft w:val="0"/>
                      <w:marRight w:val="0"/>
                      <w:marTop w:val="0"/>
                      <w:marBottom w:val="0"/>
                      <w:divBdr>
                        <w:top w:val="none" w:sz="0" w:space="0" w:color="auto"/>
                        <w:left w:val="none" w:sz="0" w:space="0" w:color="auto"/>
                        <w:bottom w:val="none" w:sz="0" w:space="0" w:color="auto"/>
                        <w:right w:val="none" w:sz="0" w:space="0" w:color="auto"/>
                      </w:divBdr>
                    </w:div>
                    <w:div w:id="1879969507">
                      <w:marLeft w:val="0"/>
                      <w:marRight w:val="0"/>
                      <w:marTop w:val="0"/>
                      <w:marBottom w:val="0"/>
                      <w:divBdr>
                        <w:top w:val="none" w:sz="0" w:space="0" w:color="auto"/>
                        <w:left w:val="none" w:sz="0" w:space="0" w:color="auto"/>
                        <w:bottom w:val="none" w:sz="0" w:space="0" w:color="auto"/>
                        <w:right w:val="none" w:sz="0" w:space="0" w:color="auto"/>
                      </w:divBdr>
                    </w:div>
                    <w:div w:id="1798178076">
                      <w:marLeft w:val="0"/>
                      <w:marRight w:val="0"/>
                      <w:marTop w:val="0"/>
                      <w:marBottom w:val="0"/>
                      <w:divBdr>
                        <w:top w:val="none" w:sz="0" w:space="0" w:color="auto"/>
                        <w:left w:val="none" w:sz="0" w:space="0" w:color="auto"/>
                        <w:bottom w:val="none" w:sz="0" w:space="0" w:color="auto"/>
                        <w:right w:val="none" w:sz="0" w:space="0" w:color="auto"/>
                      </w:divBdr>
                    </w:div>
                    <w:div w:id="597254974">
                      <w:marLeft w:val="0"/>
                      <w:marRight w:val="0"/>
                      <w:marTop w:val="0"/>
                      <w:marBottom w:val="0"/>
                      <w:divBdr>
                        <w:top w:val="none" w:sz="0" w:space="0" w:color="auto"/>
                        <w:left w:val="none" w:sz="0" w:space="0" w:color="auto"/>
                        <w:bottom w:val="none" w:sz="0" w:space="0" w:color="auto"/>
                        <w:right w:val="none" w:sz="0" w:space="0" w:color="auto"/>
                      </w:divBdr>
                    </w:div>
                    <w:div w:id="580914811">
                      <w:marLeft w:val="0"/>
                      <w:marRight w:val="0"/>
                      <w:marTop w:val="0"/>
                      <w:marBottom w:val="0"/>
                      <w:divBdr>
                        <w:top w:val="none" w:sz="0" w:space="0" w:color="auto"/>
                        <w:left w:val="none" w:sz="0" w:space="0" w:color="auto"/>
                        <w:bottom w:val="none" w:sz="0" w:space="0" w:color="auto"/>
                        <w:right w:val="none" w:sz="0" w:space="0" w:color="auto"/>
                      </w:divBdr>
                    </w:div>
                    <w:div w:id="198054537">
                      <w:marLeft w:val="0"/>
                      <w:marRight w:val="0"/>
                      <w:marTop w:val="0"/>
                      <w:marBottom w:val="0"/>
                      <w:divBdr>
                        <w:top w:val="none" w:sz="0" w:space="0" w:color="auto"/>
                        <w:left w:val="none" w:sz="0" w:space="0" w:color="auto"/>
                        <w:bottom w:val="none" w:sz="0" w:space="0" w:color="auto"/>
                        <w:right w:val="none" w:sz="0" w:space="0" w:color="auto"/>
                      </w:divBdr>
                    </w:div>
                    <w:div w:id="1550917364">
                      <w:marLeft w:val="0"/>
                      <w:marRight w:val="0"/>
                      <w:marTop w:val="0"/>
                      <w:marBottom w:val="0"/>
                      <w:divBdr>
                        <w:top w:val="none" w:sz="0" w:space="0" w:color="auto"/>
                        <w:left w:val="none" w:sz="0" w:space="0" w:color="auto"/>
                        <w:bottom w:val="none" w:sz="0" w:space="0" w:color="auto"/>
                        <w:right w:val="none" w:sz="0" w:space="0" w:color="auto"/>
                      </w:divBdr>
                    </w:div>
                    <w:div w:id="1613395488">
                      <w:marLeft w:val="0"/>
                      <w:marRight w:val="0"/>
                      <w:marTop w:val="0"/>
                      <w:marBottom w:val="0"/>
                      <w:divBdr>
                        <w:top w:val="none" w:sz="0" w:space="0" w:color="auto"/>
                        <w:left w:val="none" w:sz="0" w:space="0" w:color="auto"/>
                        <w:bottom w:val="none" w:sz="0" w:space="0" w:color="auto"/>
                        <w:right w:val="none" w:sz="0" w:space="0" w:color="auto"/>
                      </w:divBdr>
                    </w:div>
                    <w:div w:id="625962951">
                      <w:marLeft w:val="0"/>
                      <w:marRight w:val="0"/>
                      <w:marTop w:val="0"/>
                      <w:marBottom w:val="0"/>
                      <w:divBdr>
                        <w:top w:val="none" w:sz="0" w:space="0" w:color="auto"/>
                        <w:left w:val="none" w:sz="0" w:space="0" w:color="auto"/>
                        <w:bottom w:val="none" w:sz="0" w:space="0" w:color="auto"/>
                        <w:right w:val="none" w:sz="0" w:space="0" w:color="auto"/>
                      </w:divBdr>
                      <w:divsChild>
                        <w:div w:id="127528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7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1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83358">
                      <w:marLeft w:val="0"/>
                      <w:marRight w:val="0"/>
                      <w:marTop w:val="0"/>
                      <w:marBottom w:val="0"/>
                      <w:divBdr>
                        <w:top w:val="none" w:sz="0" w:space="0" w:color="auto"/>
                        <w:left w:val="none" w:sz="0" w:space="0" w:color="auto"/>
                        <w:bottom w:val="none" w:sz="0" w:space="0" w:color="auto"/>
                        <w:right w:val="none" w:sz="0" w:space="0" w:color="auto"/>
                      </w:divBdr>
                      <w:divsChild>
                        <w:div w:id="5134248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4920566">
                      <w:marLeft w:val="0"/>
                      <w:marRight w:val="0"/>
                      <w:marTop w:val="0"/>
                      <w:marBottom w:val="0"/>
                      <w:divBdr>
                        <w:top w:val="none" w:sz="0" w:space="0" w:color="auto"/>
                        <w:left w:val="none" w:sz="0" w:space="0" w:color="auto"/>
                        <w:bottom w:val="none" w:sz="0" w:space="0" w:color="auto"/>
                        <w:right w:val="none" w:sz="0" w:space="0" w:color="auto"/>
                      </w:divBdr>
                    </w:div>
                    <w:div w:id="21148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7071">
      <w:bodyDiv w:val="1"/>
      <w:marLeft w:val="0"/>
      <w:marRight w:val="0"/>
      <w:marTop w:val="0"/>
      <w:marBottom w:val="0"/>
      <w:divBdr>
        <w:top w:val="none" w:sz="0" w:space="0" w:color="auto"/>
        <w:left w:val="none" w:sz="0" w:space="0" w:color="auto"/>
        <w:bottom w:val="none" w:sz="0" w:space="0" w:color="auto"/>
        <w:right w:val="none" w:sz="0" w:space="0" w:color="auto"/>
      </w:divBdr>
      <w:divsChild>
        <w:div w:id="213001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5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3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85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1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817327">
      <w:bodyDiv w:val="1"/>
      <w:marLeft w:val="0"/>
      <w:marRight w:val="0"/>
      <w:marTop w:val="0"/>
      <w:marBottom w:val="0"/>
      <w:divBdr>
        <w:top w:val="none" w:sz="0" w:space="0" w:color="auto"/>
        <w:left w:val="none" w:sz="0" w:space="0" w:color="auto"/>
        <w:bottom w:val="none" w:sz="0" w:space="0" w:color="auto"/>
        <w:right w:val="none" w:sz="0" w:space="0" w:color="auto"/>
      </w:divBdr>
    </w:div>
    <w:div w:id="2001813373">
      <w:bodyDiv w:val="1"/>
      <w:marLeft w:val="0"/>
      <w:marRight w:val="0"/>
      <w:marTop w:val="0"/>
      <w:marBottom w:val="0"/>
      <w:divBdr>
        <w:top w:val="none" w:sz="0" w:space="0" w:color="auto"/>
        <w:left w:val="none" w:sz="0" w:space="0" w:color="auto"/>
        <w:bottom w:val="none" w:sz="0" w:space="0" w:color="auto"/>
        <w:right w:val="none" w:sz="0" w:space="0" w:color="auto"/>
      </w:divBdr>
    </w:div>
    <w:div w:id="2130464366">
      <w:bodyDiv w:val="1"/>
      <w:marLeft w:val="0"/>
      <w:marRight w:val="0"/>
      <w:marTop w:val="0"/>
      <w:marBottom w:val="0"/>
      <w:divBdr>
        <w:top w:val="none" w:sz="0" w:space="0" w:color="auto"/>
        <w:left w:val="none" w:sz="0" w:space="0" w:color="auto"/>
        <w:bottom w:val="none" w:sz="0" w:space="0" w:color="auto"/>
        <w:right w:val="none" w:sz="0" w:space="0" w:color="auto"/>
      </w:divBdr>
      <w:divsChild>
        <w:div w:id="724642028">
          <w:marLeft w:val="0"/>
          <w:marRight w:val="0"/>
          <w:marTop w:val="0"/>
          <w:marBottom w:val="0"/>
          <w:divBdr>
            <w:top w:val="none" w:sz="0" w:space="0" w:color="auto"/>
            <w:left w:val="none" w:sz="0" w:space="0" w:color="auto"/>
            <w:bottom w:val="none" w:sz="0" w:space="0" w:color="auto"/>
            <w:right w:val="none" w:sz="0" w:space="0" w:color="auto"/>
          </w:divBdr>
          <w:divsChild>
            <w:div w:id="654377861">
              <w:marLeft w:val="0"/>
              <w:marRight w:val="0"/>
              <w:marTop w:val="0"/>
              <w:marBottom w:val="0"/>
              <w:divBdr>
                <w:top w:val="none" w:sz="0" w:space="0" w:color="auto"/>
                <w:left w:val="none" w:sz="0" w:space="0" w:color="auto"/>
                <w:bottom w:val="none" w:sz="0" w:space="0" w:color="auto"/>
                <w:right w:val="none" w:sz="0" w:space="0" w:color="auto"/>
              </w:divBdr>
            </w:div>
            <w:div w:id="2108425660">
              <w:marLeft w:val="0"/>
              <w:marRight w:val="0"/>
              <w:marTop w:val="0"/>
              <w:marBottom w:val="0"/>
              <w:divBdr>
                <w:top w:val="none" w:sz="0" w:space="0" w:color="auto"/>
                <w:left w:val="none" w:sz="0" w:space="0" w:color="auto"/>
                <w:bottom w:val="none" w:sz="0" w:space="0" w:color="auto"/>
                <w:right w:val="none" w:sz="0" w:space="0" w:color="auto"/>
              </w:divBdr>
              <w:divsChild>
                <w:div w:id="1915771623">
                  <w:marLeft w:val="0"/>
                  <w:marRight w:val="0"/>
                  <w:marTop w:val="0"/>
                  <w:marBottom w:val="0"/>
                  <w:divBdr>
                    <w:top w:val="none" w:sz="0" w:space="0" w:color="auto"/>
                    <w:left w:val="none" w:sz="0" w:space="0" w:color="auto"/>
                    <w:bottom w:val="none" w:sz="0" w:space="0" w:color="auto"/>
                    <w:right w:val="none" w:sz="0" w:space="0" w:color="auto"/>
                  </w:divBdr>
                  <w:divsChild>
                    <w:div w:id="11147939">
                      <w:marLeft w:val="0"/>
                      <w:marRight w:val="0"/>
                      <w:marTop w:val="0"/>
                      <w:marBottom w:val="0"/>
                      <w:divBdr>
                        <w:top w:val="none" w:sz="0" w:space="0" w:color="auto"/>
                        <w:left w:val="none" w:sz="0" w:space="0" w:color="auto"/>
                        <w:bottom w:val="none" w:sz="0" w:space="0" w:color="auto"/>
                        <w:right w:val="none" w:sz="0" w:space="0" w:color="auto"/>
                      </w:divBdr>
                    </w:div>
                    <w:div w:id="2069646630">
                      <w:marLeft w:val="0"/>
                      <w:marRight w:val="0"/>
                      <w:marTop w:val="0"/>
                      <w:marBottom w:val="0"/>
                      <w:divBdr>
                        <w:top w:val="none" w:sz="0" w:space="0" w:color="auto"/>
                        <w:left w:val="none" w:sz="0" w:space="0" w:color="auto"/>
                        <w:bottom w:val="none" w:sz="0" w:space="0" w:color="auto"/>
                        <w:right w:val="none" w:sz="0" w:space="0" w:color="auto"/>
                      </w:divBdr>
                    </w:div>
                    <w:div w:id="1193961422">
                      <w:marLeft w:val="0"/>
                      <w:marRight w:val="0"/>
                      <w:marTop w:val="0"/>
                      <w:marBottom w:val="0"/>
                      <w:divBdr>
                        <w:top w:val="none" w:sz="0" w:space="0" w:color="auto"/>
                        <w:left w:val="none" w:sz="0" w:space="0" w:color="auto"/>
                        <w:bottom w:val="none" w:sz="0" w:space="0" w:color="auto"/>
                        <w:right w:val="none" w:sz="0" w:space="0" w:color="auto"/>
                      </w:divBdr>
                    </w:div>
                    <w:div w:id="1983774927">
                      <w:marLeft w:val="0"/>
                      <w:marRight w:val="0"/>
                      <w:marTop w:val="0"/>
                      <w:marBottom w:val="0"/>
                      <w:divBdr>
                        <w:top w:val="none" w:sz="0" w:space="0" w:color="auto"/>
                        <w:left w:val="none" w:sz="0" w:space="0" w:color="auto"/>
                        <w:bottom w:val="none" w:sz="0" w:space="0" w:color="auto"/>
                        <w:right w:val="none" w:sz="0" w:space="0" w:color="auto"/>
                      </w:divBdr>
                    </w:div>
                    <w:div w:id="226188004">
                      <w:marLeft w:val="0"/>
                      <w:marRight w:val="0"/>
                      <w:marTop w:val="0"/>
                      <w:marBottom w:val="0"/>
                      <w:divBdr>
                        <w:top w:val="none" w:sz="0" w:space="0" w:color="auto"/>
                        <w:left w:val="none" w:sz="0" w:space="0" w:color="auto"/>
                        <w:bottom w:val="none" w:sz="0" w:space="0" w:color="auto"/>
                        <w:right w:val="none" w:sz="0" w:space="0" w:color="auto"/>
                      </w:divBdr>
                    </w:div>
                    <w:div w:id="1968394978">
                      <w:marLeft w:val="0"/>
                      <w:marRight w:val="0"/>
                      <w:marTop w:val="0"/>
                      <w:marBottom w:val="0"/>
                      <w:divBdr>
                        <w:top w:val="none" w:sz="0" w:space="0" w:color="auto"/>
                        <w:left w:val="none" w:sz="0" w:space="0" w:color="auto"/>
                        <w:bottom w:val="none" w:sz="0" w:space="0" w:color="auto"/>
                        <w:right w:val="none" w:sz="0" w:space="0" w:color="auto"/>
                      </w:divBdr>
                    </w:div>
                    <w:div w:id="1317414162">
                      <w:marLeft w:val="0"/>
                      <w:marRight w:val="0"/>
                      <w:marTop w:val="0"/>
                      <w:marBottom w:val="0"/>
                      <w:divBdr>
                        <w:top w:val="none" w:sz="0" w:space="0" w:color="auto"/>
                        <w:left w:val="none" w:sz="0" w:space="0" w:color="auto"/>
                        <w:bottom w:val="none" w:sz="0" w:space="0" w:color="auto"/>
                        <w:right w:val="none" w:sz="0" w:space="0" w:color="auto"/>
                      </w:divBdr>
                    </w:div>
                    <w:div w:id="940990570">
                      <w:marLeft w:val="0"/>
                      <w:marRight w:val="0"/>
                      <w:marTop w:val="0"/>
                      <w:marBottom w:val="0"/>
                      <w:divBdr>
                        <w:top w:val="none" w:sz="0" w:space="0" w:color="auto"/>
                        <w:left w:val="none" w:sz="0" w:space="0" w:color="auto"/>
                        <w:bottom w:val="none" w:sz="0" w:space="0" w:color="auto"/>
                        <w:right w:val="none" w:sz="0" w:space="0" w:color="auto"/>
                      </w:divBdr>
                    </w:div>
                    <w:div w:id="1983775938">
                      <w:marLeft w:val="0"/>
                      <w:marRight w:val="0"/>
                      <w:marTop w:val="0"/>
                      <w:marBottom w:val="0"/>
                      <w:divBdr>
                        <w:top w:val="none" w:sz="0" w:space="0" w:color="auto"/>
                        <w:left w:val="none" w:sz="0" w:space="0" w:color="auto"/>
                        <w:bottom w:val="none" w:sz="0" w:space="0" w:color="auto"/>
                        <w:right w:val="none" w:sz="0" w:space="0" w:color="auto"/>
                      </w:divBdr>
                    </w:div>
                    <w:div w:id="315229687">
                      <w:marLeft w:val="0"/>
                      <w:marRight w:val="0"/>
                      <w:marTop w:val="0"/>
                      <w:marBottom w:val="0"/>
                      <w:divBdr>
                        <w:top w:val="none" w:sz="0" w:space="0" w:color="auto"/>
                        <w:left w:val="none" w:sz="0" w:space="0" w:color="auto"/>
                        <w:bottom w:val="none" w:sz="0" w:space="0" w:color="auto"/>
                        <w:right w:val="none" w:sz="0" w:space="0" w:color="auto"/>
                      </w:divBdr>
                    </w:div>
                    <w:div w:id="1588688144">
                      <w:marLeft w:val="0"/>
                      <w:marRight w:val="0"/>
                      <w:marTop w:val="0"/>
                      <w:marBottom w:val="0"/>
                      <w:divBdr>
                        <w:top w:val="none" w:sz="0" w:space="0" w:color="auto"/>
                        <w:left w:val="none" w:sz="0" w:space="0" w:color="auto"/>
                        <w:bottom w:val="none" w:sz="0" w:space="0" w:color="auto"/>
                        <w:right w:val="none" w:sz="0" w:space="0" w:color="auto"/>
                      </w:divBdr>
                    </w:div>
                    <w:div w:id="376049008">
                      <w:marLeft w:val="0"/>
                      <w:marRight w:val="0"/>
                      <w:marTop w:val="0"/>
                      <w:marBottom w:val="0"/>
                      <w:divBdr>
                        <w:top w:val="none" w:sz="0" w:space="0" w:color="auto"/>
                        <w:left w:val="none" w:sz="0" w:space="0" w:color="auto"/>
                        <w:bottom w:val="none" w:sz="0" w:space="0" w:color="auto"/>
                        <w:right w:val="none" w:sz="0" w:space="0" w:color="auto"/>
                      </w:divBdr>
                    </w:div>
                    <w:div w:id="3839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38028">
              <w:marLeft w:val="0"/>
              <w:marRight w:val="0"/>
              <w:marTop w:val="0"/>
              <w:marBottom w:val="0"/>
              <w:divBdr>
                <w:top w:val="none" w:sz="0" w:space="0" w:color="auto"/>
                <w:left w:val="none" w:sz="0" w:space="0" w:color="auto"/>
                <w:bottom w:val="none" w:sz="0" w:space="0" w:color="auto"/>
                <w:right w:val="none" w:sz="0" w:space="0" w:color="auto"/>
              </w:divBdr>
              <w:divsChild>
                <w:div w:id="1344356446">
                  <w:marLeft w:val="0"/>
                  <w:marRight w:val="0"/>
                  <w:marTop w:val="0"/>
                  <w:marBottom w:val="0"/>
                  <w:divBdr>
                    <w:top w:val="none" w:sz="0" w:space="0" w:color="auto"/>
                    <w:left w:val="none" w:sz="0" w:space="0" w:color="auto"/>
                    <w:bottom w:val="none" w:sz="0" w:space="0" w:color="auto"/>
                    <w:right w:val="none" w:sz="0" w:space="0" w:color="auto"/>
                  </w:divBdr>
                  <w:divsChild>
                    <w:div w:id="333730424">
                      <w:marLeft w:val="0"/>
                      <w:marRight w:val="0"/>
                      <w:marTop w:val="0"/>
                      <w:marBottom w:val="0"/>
                      <w:divBdr>
                        <w:top w:val="none" w:sz="0" w:space="0" w:color="auto"/>
                        <w:left w:val="none" w:sz="0" w:space="0" w:color="auto"/>
                        <w:bottom w:val="none" w:sz="0" w:space="0" w:color="auto"/>
                        <w:right w:val="none" w:sz="0" w:space="0" w:color="auto"/>
                      </w:divBdr>
                    </w:div>
                    <w:div w:id="1568296176">
                      <w:marLeft w:val="0"/>
                      <w:marRight w:val="0"/>
                      <w:marTop w:val="0"/>
                      <w:marBottom w:val="0"/>
                      <w:divBdr>
                        <w:top w:val="none" w:sz="0" w:space="0" w:color="auto"/>
                        <w:left w:val="none" w:sz="0" w:space="0" w:color="auto"/>
                        <w:bottom w:val="none" w:sz="0" w:space="0" w:color="auto"/>
                        <w:right w:val="none" w:sz="0" w:space="0" w:color="auto"/>
                      </w:divBdr>
                    </w:div>
                    <w:div w:id="318387360">
                      <w:marLeft w:val="0"/>
                      <w:marRight w:val="0"/>
                      <w:marTop w:val="0"/>
                      <w:marBottom w:val="0"/>
                      <w:divBdr>
                        <w:top w:val="none" w:sz="0" w:space="0" w:color="auto"/>
                        <w:left w:val="none" w:sz="0" w:space="0" w:color="auto"/>
                        <w:bottom w:val="none" w:sz="0" w:space="0" w:color="auto"/>
                        <w:right w:val="none" w:sz="0" w:space="0" w:color="auto"/>
                      </w:divBdr>
                    </w:div>
                    <w:div w:id="769201878">
                      <w:marLeft w:val="0"/>
                      <w:marRight w:val="0"/>
                      <w:marTop w:val="0"/>
                      <w:marBottom w:val="0"/>
                      <w:divBdr>
                        <w:top w:val="none" w:sz="0" w:space="0" w:color="auto"/>
                        <w:left w:val="none" w:sz="0" w:space="0" w:color="auto"/>
                        <w:bottom w:val="none" w:sz="0" w:space="0" w:color="auto"/>
                        <w:right w:val="none" w:sz="0" w:space="0" w:color="auto"/>
                      </w:divBdr>
                    </w:div>
                    <w:div w:id="880556613">
                      <w:marLeft w:val="0"/>
                      <w:marRight w:val="0"/>
                      <w:marTop w:val="0"/>
                      <w:marBottom w:val="0"/>
                      <w:divBdr>
                        <w:top w:val="none" w:sz="0" w:space="0" w:color="auto"/>
                        <w:left w:val="none" w:sz="0" w:space="0" w:color="auto"/>
                        <w:bottom w:val="none" w:sz="0" w:space="0" w:color="auto"/>
                        <w:right w:val="none" w:sz="0" w:space="0" w:color="auto"/>
                      </w:divBdr>
                    </w:div>
                    <w:div w:id="873736718">
                      <w:marLeft w:val="0"/>
                      <w:marRight w:val="0"/>
                      <w:marTop w:val="0"/>
                      <w:marBottom w:val="0"/>
                      <w:divBdr>
                        <w:top w:val="none" w:sz="0" w:space="0" w:color="auto"/>
                        <w:left w:val="none" w:sz="0" w:space="0" w:color="auto"/>
                        <w:bottom w:val="none" w:sz="0" w:space="0" w:color="auto"/>
                        <w:right w:val="none" w:sz="0" w:space="0" w:color="auto"/>
                      </w:divBdr>
                    </w:div>
                    <w:div w:id="1763183885">
                      <w:marLeft w:val="0"/>
                      <w:marRight w:val="0"/>
                      <w:marTop w:val="0"/>
                      <w:marBottom w:val="0"/>
                      <w:divBdr>
                        <w:top w:val="none" w:sz="0" w:space="0" w:color="auto"/>
                        <w:left w:val="none" w:sz="0" w:space="0" w:color="auto"/>
                        <w:bottom w:val="none" w:sz="0" w:space="0" w:color="auto"/>
                        <w:right w:val="none" w:sz="0" w:space="0" w:color="auto"/>
                      </w:divBdr>
                    </w:div>
                    <w:div w:id="125974939">
                      <w:marLeft w:val="0"/>
                      <w:marRight w:val="0"/>
                      <w:marTop w:val="0"/>
                      <w:marBottom w:val="0"/>
                      <w:divBdr>
                        <w:top w:val="none" w:sz="0" w:space="0" w:color="auto"/>
                        <w:left w:val="none" w:sz="0" w:space="0" w:color="auto"/>
                        <w:bottom w:val="none" w:sz="0" w:space="0" w:color="auto"/>
                        <w:right w:val="none" w:sz="0" w:space="0" w:color="auto"/>
                      </w:divBdr>
                    </w:div>
                    <w:div w:id="536167326">
                      <w:marLeft w:val="0"/>
                      <w:marRight w:val="0"/>
                      <w:marTop w:val="0"/>
                      <w:marBottom w:val="0"/>
                      <w:divBdr>
                        <w:top w:val="none" w:sz="0" w:space="0" w:color="auto"/>
                        <w:left w:val="none" w:sz="0" w:space="0" w:color="auto"/>
                        <w:bottom w:val="none" w:sz="0" w:space="0" w:color="auto"/>
                        <w:right w:val="none" w:sz="0" w:space="0" w:color="auto"/>
                      </w:divBdr>
                      <w:divsChild>
                        <w:div w:id="20803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0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14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94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77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2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2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63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7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2511">
                      <w:marLeft w:val="0"/>
                      <w:marRight w:val="0"/>
                      <w:marTop w:val="0"/>
                      <w:marBottom w:val="0"/>
                      <w:divBdr>
                        <w:top w:val="none" w:sz="0" w:space="0" w:color="auto"/>
                        <w:left w:val="none" w:sz="0" w:space="0" w:color="auto"/>
                        <w:bottom w:val="none" w:sz="0" w:space="0" w:color="auto"/>
                        <w:right w:val="none" w:sz="0" w:space="0" w:color="auto"/>
                      </w:divBdr>
                      <w:divsChild>
                        <w:div w:id="1554803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9669064">
                      <w:marLeft w:val="0"/>
                      <w:marRight w:val="0"/>
                      <w:marTop w:val="0"/>
                      <w:marBottom w:val="0"/>
                      <w:divBdr>
                        <w:top w:val="none" w:sz="0" w:space="0" w:color="auto"/>
                        <w:left w:val="none" w:sz="0" w:space="0" w:color="auto"/>
                        <w:bottom w:val="none" w:sz="0" w:space="0" w:color="auto"/>
                        <w:right w:val="none" w:sz="0" w:space="0" w:color="auto"/>
                      </w:divBdr>
                    </w:div>
                    <w:div w:id="1135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077">
      <w:bodyDiv w:val="1"/>
      <w:marLeft w:val="0"/>
      <w:marRight w:val="0"/>
      <w:marTop w:val="0"/>
      <w:marBottom w:val="0"/>
      <w:divBdr>
        <w:top w:val="none" w:sz="0" w:space="0" w:color="auto"/>
        <w:left w:val="none" w:sz="0" w:space="0" w:color="auto"/>
        <w:bottom w:val="none" w:sz="0" w:space="0" w:color="auto"/>
        <w:right w:val="none" w:sz="0" w:space="0" w:color="auto"/>
      </w:divBdr>
      <w:divsChild>
        <w:div w:id="1720320937">
          <w:marLeft w:val="0"/>
          <w:marRight w:val="0"/>
          <w:marTop w:val="0"/>
          <w:marBottom w:val="0"/>
          <w:divBdr>
            <w:top w:val="none" w:sz="0" w:space="0" w:color="auto"/>
            <w:left w:val="none" w:sz="0" w:space="0" w:color="auto"/>
            <w:bottom w:val="none" w:sz="0" w:space="0" w:color="auto"/>
            <w:right w:val="none" w:sz="0" w:space="0" w:color="auto"/>
          </w:divBdr>
          <w:divsChild>
            <w:div w:id="1248467797">
              <w:marLeft w:val="0"/>
              <w:marRight w:val="0"/>
              <w:marTop w:val="0"/>
              <w:marBottom w:val="0"/>
              <w:divBdr>
                <w:top w:val="none" w:sz="0" w:space="0" w:color="auto"/>
                <w:left w:val="none" w:sz="0" w:space="0" w:color="auto"/>
                <w:bottom w:val="none" w:sz="0" w:space="0" w:color="auto"/>
                <w:right w:val="none" w:sz="0" w:space="0" w:color="auto"/>
              </w:divBdr>
            </w:div>
            <w:div w:id="763846604">
              <w:marLeft w:val="0"/>
              <w:marRight w:val="0"/>
              <w:marTop w:val="0"/>
              <w:marBottom w:val="0"/>
              <w:divBdr>
                <w:top w:val="none" w:sz="0" w:space="0" w:color="auto"/>
                <w:left w:val="none" w:sz="0" w:space="0" w:color="auto"/>
                <w:bottom w:val="none" w:sz="0" w:space="0" w:color="auto"/>
                <w:right w:val="none" w:sz="0" w:space="0" w:color="auto"/>
              </w:divBdr>
              <w:divsChild>
                <w:div w:id="2104061267">
                  <w:marLeft w:val="0"/>
                  <w:marRight w:val="0"/>
                  <w:marTop w:val="0"/>
                  <w:marBottom w:val="0"/>
                  <w:divBdr>
                    <w:top w:val="none" w:sz="0" w:space="0" w:color="auto"/>
                    <w:left w:val="none" w:sz="0" w:space="0" w:color="auto"/>
                    <w:bottom w:val="none" w:sz="0" w:space="0" w:color="auto"/>
                    <w:right w:val="none" w:sz="0" w:space="0" w:color="auto"/>
                  </w:divBdr>
                  <w:divsChild>
                    <w:div w:id="536510424">
                      <w:marLeft w:val="0"/>
                      <w:marRight w:val="0"/>
                      <w:marTop w:val="0"/>
                      <w:marBottom w:val="0"/>
                      <w:divBdr>
                        <w:top w:val="none" w:sz="0" w:space="0" w:color="auto"/>
                        <w:left w:val="none" w:sz="0" w:space="0" w:color="auto"/>
                        <w:bottom w:val="none" w:sz="0" w:space="0" w:color="auto"/>
                        <w:right w:val="none" w:sz="0" w:space="0" w:color="auto"/>
                      </w:divBdr>
                    </w:div>
                    <w:div w:id="768744865">
                      <w:marLeft w:val="0"/>
                      <w:marRight w:val="0"/>
                      <w:marTop w:val="0"/>
                      <w:marBottom w:val="0"/>
                      <w:divBdr>
                        <w:top w:val="none" w:sz="0" w:space="0" w:color="auto"/>
                        <w:left w:val="none" w:sz="0" w:space="0" w:color="auto"/>
                        <w:bottom w:val="none" w:sz="0" w:space="0" w:color="auto"/>
                        <w:right w:val="none" w:sz="0" w:space="0" w:color="auto"/>
                      </w:divBdr>
                    </w:div>
                    <w:div w:id="1286504317">
                      <w:marLeft w:val="0"/>
                      <w:marRight w:val="0"/>
                      <w:marTop w:val="0"/>
                      <w:marBottom w:val="0"/>
                      <w:divBdr>
                        <w:top w:val="none" w:sz="0" w:space="0" w:color="auto"/>
                        <w:left w:val="none" w:sz="0" w:space="0" w:color="auto"/>
                        <w:bottom w:val="none" w:sz="0" w:space="0" w:color="auto"/>
                        <w:right w:val="none" w:sz="0" w:space="0" w:color="auto"/>
                      </w:divBdr>
                    </w:div>
                    <w:div w:id="288556249">
                      <w:marLeft w:val="0"/>
                      <w:marRight w:val="0"/>
                      <w:marTop w:val="0"/>
                      <w:marBottom w:val="0"/>
                      <w:divBdr>
                        <w:top w:val="none" w:sz="0" w:space="0" w:color="auto"/>
                        <w:left w:val="none" w:sz="0" w:space="0" w:color="auto"/>
                        <w:bottom w:val="none" w:sz="0" w:space="0" w:color="auto"/>
                        <w:right w:val="none" w:sz="0" w:space="0" w:color="auto"/>
                      </w:divBdr>
                    </w:div>
                    <w:div w:id="187525011">
                      <w:marLeft w:val="0"/>
                      <w:marRight w:val="0"/>
                      <w:marTop w:val="0"/>
                      <w:marBottom w:val="0"/>
                      <w:divBdr>
                        <w:top w:val="none" w:sz="0" w:space="0" w:color="auto"/>
                        <w:left w:val="none" w:sz="0" w:space="0" w:color="auto"/>
                        <w:bottom w:val="none" w:sz="0" w:space="0" w:color="auto"/>
                        <w:right w:val="none" w:sz="0" w:space="0" w:color="auto"/>
                      </w:divBdr>
                    </w:div>
                    <w:div w:id="739669490">
                      <w:marLeft w:val="0"/>
                      <w:marRight w:val="0"/>
                      <w:marTop w:val="0"/>
                      <w:marBottom w:val="0"/>
                      <w:divBdr>
                        <w:top w:val="none" w:sz="0" w:space="0" w:color="auto"/>
                        <w:left w:val="none" w:sz="0" w:space="0" w:color="auto"/>
                        <w:bottom w:val="none" w:sz="0" w:space="0" w:color="auto"/>
                        <w:right w:val="none" w:sz="0" w:space="0" w:color="auto"/>
                      </w:divBdr>
                    </w:div>
                    <w:div w:id="30229420">
                      <w:marLeft w:val="0"/>
                      <w:marRight w:val="0"/>
                      <w:marTop w:val="0"/>
                      <w:marBottom w:val="0"/>
                      <w:divBdr>
                        <w:top w:val="none" w:sz="0" w:space="0" w:color="auto"/>
                        <w:left w:val="none" w:sz="0" w:space="0" w:color="auto"/>
                        <w:bottom w:val="none" w:sz="0" w:space="0" w:color="auto"/>
                        <w:right w:val="none" w:sz="0" w:space="0" w:color="auto"/>
                      </w:divBdr>
                    </w:div>
                    <w:div w:id="1145050754">
                      <w:marLeft w:val="0"/>
                      <w:marRight w:val="0"/>
                      <w:marTop w:val="0"/>
                      <w:marBottom w:val="0"/>
                      <w:divBdr>
                        <w:top w:val="none" w:sz="0" w:space="0" w:color="auto"/>
                        <w:left w:val="none" w:sz="0" w:space="0" w:color="auto"/>
                        <w:bottom w:val="none" w:sz="0" w:space="0" w:color="auto"/>
                        <w:right w:val="none" w:sz="0" w:space="0" w:color="auto"/>
                      </w:divBdr>
                    </w:div>
                    <w:div w:id="275139891">
                      <w:marLeft w:val="0"/>
                      <w:marRight w:val="0"/>
                      <w:marTop w:val="0"/>
                      <w:marBottom w:val="0"/>
                      <w:divBdr>
                        <w:top w:val="none" w:sz="0" w:space="0" w:color="auto"/>
                        <w:left w:val="none" w:sz="0" w:space="0" w:color="auto"/>
                        <w:bottom w:val="none" w:sz="0" w:space="0" w:color="auto"/>
                        <w:right w:val="none" w:sz="0" w:space="0" w:color="auto"/>
                      </w:divBdr>
                    </w:div>
                    <w:div w:id="883060971">
                      <w:marLeft w:val="0"/>
                      <w:marRight w:val="0"/>
                      <w:marTop w:val="0"/>
                      <w:marBottom w:val="0"/>
                      <w:divBdr>
                        <w:top w:val="none" w:sz="0" w:space="0" w:color="auto"/>
                        <w:left w:val="none" w:sz="0" w:space="0" w:color="auto"/>
                        <w:bottom w:val="none" w:sz="0" w:space="0" w:color="auto"/>
                        <w:right w:val="none" w:sz="0" w:space="0" w:color="auto"/>
                      </w:divBdr>
                    </w:div>
                    <w:div w:id="158275076">
                      <w:marLeft w:val="0"/>
                      <w:marRight w:val="0"/>
                      <w:marTop w:val="0"/>
                      <w:marBottom w:val="0"/>
                      <w:divBdr>
                        <w:top w:val="none" w:sz="0" w:space="0" w:color="auto"/>
                        <w:left w:val="none" w:sz="0" w:space="0" w:color="auto"/>
                        <w:bottom w:val="none" w:sz="0" w:space="0" w:color="auto"/>
                        <w:right w:val="none" w:sz="0" w:space="0" w:color="auto"/>
                      </w:divBdr>
                    </w:div>
                    <w:div w:id="569268164">
                      <w:marLeft w:val="0"/>
                      <w:marRight w:val="0"/>
                      <w:marTop w:val="0"/>
                      <w:marBottom w:val="0"/>
                      <w:divBdr>
                        <w:top w:val="none" w:sz="0" w:space="0" w:color="auto"/>
                        <w:left w:val="none" w:sz="0" w:space="0" w:color="auto"/>
                        <w:bottom w:val="none" w:sz="0" w:space="0" w:color="auto"/>
                        <w:right w:val="none" w:sz="0" w:space="0" w:color="auto"/>
                      </w:divBdr>
                    </w:div>
                    <w:div w:id="472254635">
                      <w:marLeft w:val="0"/>
                      <w:marRight w:val="0"/>
                      <w:marTop w:val="0"/>
                      <w:marBottom w:val="0"/>
                      <w:divBdr>
                        <w:top w:val="none" w:sz="0" w:space="0" w:color="auto"/>
                        <w:left w:val="none" w:sz="0" w:space="0" w:color="auto"/>
                        <w:bottom w:val="none" w:sz="0" w:space="0" w:color="auto"/>
                        <w:right w:val="none" w:sz="0" w:space="0" w:color="auto"/>
                      </w:divBdr>
                    </w:div>
                    <w:div w:id="2005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246">
              <w:marLeft w:val="0"/>
              <w:marRight w:val="0"/>
              <w:marTop w:val="0"/>
              <w:marBottom w:val="0"/>
              <w:divBdr>
                <w:top w:val="none" w:sz="0" w:space="0" w:color="auto"/>
                <w:left w:val="none" w:sz="0" w:space="0" w:color="auto"/>
                <w:bottom w:val="none" w:sz="0" w:space="0" w:color="auto"/>
                <w:right w:val="none" w:sz="0" w:space="0" w:color="auto"/>
              </w:divBdr>
              <w:divsChild>
                <w:div w:id="1475098495">
                  <w:marLeft w:val="0"/>
                  <w:marRight w:val="0"/>
                  <w:marTop w:val="0"/>
                  <w:marBottom w:val="0"/>
                  <w:divBdr>
                    <w:top w:val="none" w:sz="0" w:space="0" w:color="auto"/>
                    <w:left w:val="none" w:sz="0" w:space="0" w:color="auto"/>
                    <w:bottom w:val="none" w:sz="0" w:space="0" w:color="auto"/>
                    <w:right w:val="none" w:sz="0" w:space="0" w:color="auto"/>
                  </w:divBdr>
                  <w:divsChild>
                    <w:div w:id="1111163681">
                      <w:marLeft w:val="0"/>
                      <w:marRight w:val="0"/>
                      <w:marTop w:val="0"/>
                      <w:marBottom w:val="0"/>
                      <w:divBdr>
                        <w:top w:val="none" w:sz="0" w:space="0" w:color="auto"/>
                        <w:left w:val="none" w:sz="0" w:space="0" w:color="auto"/>
                        <w:bottom w:val="none" w:sz="0" w:space="0" w:color="auto"/>
                        <w:right w:val="none" w:sz="0" w:space="0" w:color="auto"/>
                      </w:divBdr>
                    </w:div>
                    <w:div w:id="815873400">
                      <w:marLeft w:val="0"/>
                      <w:marRight w:val="0"/>
                      <w:marTop w:val="0"/>
                      <w:marBottom w:val="0"/>
                      <w:divBdr>
                        <w:top w:val="none" w:sz="0" w:space="0" w:color="auto"/>
                        <w:left w:val="none" w:sz="0" w:space="0" w:color="auto"/>
                        <w:bottom w:val="none" w:sz="0" w:space="0" w:color="auto"/>
                        <w:right w:val="none" w:sz="0" w:space="0" w:color="auto"/>
                      </w:divBdr>
                    </w:div>
                    <w:div w:id="638457248">
                      <w:marLeft w:val="0"/>
                      <w:marRight w:val="0"/>
                      <w:marTop w:val="0"/>
                      <w:marBottom w:val="0"/>
                      <w:divBdr>
                        <w:top w:val="none" w:sz="0" w:space="0" w:color="auto"/>
                        <w:left w:val="none" w:sz="0" w:space="0" w:color="auto"/>
                        <w:bottom w:val="none" w:sz="0" w:space="0" w:color="auto"/>
                        <w:right w:val="none" w:sz="0" w:space="0" w:color="auto"/>
                      </w:divBdr>
                    </w:div>
                    <w:div w:id="940259438">
                      <w:marLeft w:val="0"/>
                      <w:marRight w:val="0"/>
                      <w:marTop w:val="0"/>
                      <w:marBottom w:val="0"/>
                      <w:divBdr>
                        <w:top w:val="none" w:sz="0" w:space="0" w:color="auto"/>
                        <w:left w:val="none" w:sz="0" w:space="0" w:color="auto"/>
                        <w:bottom w:val="none" w:sz="0" w:space="0" w:color="auto"/>
                        <w:right w:val="none" w:sz="0" w:space="0" w:color="auto"/>
                      </w:divBdr>
                    </w:div>
                    <w:div w:id="85884488">
                      <w:marLeft w:val="0"/>
                      <w:marRight w:val="0"/>
                      <w:marTop w:val="0"/>
                      <w:marBottom w:val="0"/>
                      <w:divBdr>
                        <w:top w:val="none" w:sz="0" w:space="0" w:color="auto"/>
                        <w:left w:val="none" w:sz="0" w:space="0" w:color="auto"/>
                        <w:bottom w:val="none" w:sz="0" w:space="0" w:color="auto"/>
                        <w:right w:val="none" w:sz="0" w:space="0" w:color="auto"/>
                      </w:divBdr>
                    </w:div>
                    <w:div w:id="1287617044">
                      <w:marLeft w:val="0"/>
                      <w:marRight w:val="0"/>
                      <w:marTop w:val="0"/>
                      <w:marBottom w:val="0"/>
                      <w:divBdr>
                        <w:top w:val="none" w:sz="0" w:space="0" w:color="auto"/>
                        <w:left w:val="none" w:sz="0" w:space="0" w:color="auto"/>
                        <w:bottom w:val="none" w:sz="0" w:space="0" w:color="auto"/>
                        <w:right w:val="none" w:sz="0" w:space="0" w:color="auto"/>
                      </w:divBdr>
                    </w:div>
                    <w:div w:id="1638101615">
                      <w:marLeft w:val="0"/>
                      <w:marRight w:val="0"/>
                      <w:marTop w:val="0"/>
                      <w:marBottom w:val="0"/>
                      <w:divBdr>
                        <w:top w:val="none" w:sz="0" w:space="0" w:color="auto"/>
                        <w:left w:val="none" w:sz="0" w:space="0" w:color="auto"/>
                        <w:bottom w:val="none" w:sz="0" w:space="0" w:color="auto"/>
                        <w:right w:val="none" w:sz="0" w:space="0" w:color="auto"/>
                      </w:divBdr>
                    </w:div>
                    <w:div w:id="827552156">
                      <w:marLeft w:val="0"/>
                      <w:marRight w:val="0"/>
                      <w:marTop w:val="0"/>
                      <w:marBottom w:val="0"/>
                      <w:divBdr>
                        <w:top w:val="none" w:sz="0" w:space="0" w:color="auto"/>
                        <w:left w:val="none" w:sz="0" w:space="0" w:color="auto"/>
                        <w:bottom w:val="none" w:sz="0" w:space="0" w:color="auto"/>
                        <w:right w:val="none" w:sz="0" w:space="0" w:color="auto"/>
                      </w:divBdr>
                    </w:div>
                    <w:div w:id="1889102012">
                      <w:marLeft w:val="0"/>
                      <w:marRight w:val="0"/>
                      <w:marTop w:val="0"/>
                      <w:marBottom w:val="0"/>
                      <w:divBdr>
                        <w:top w:val="none" w:sz="0" w:space="0" w:color="auto"/>
                        <w:left w:val="none" w:sz="0" w:space="0" w:color="auto"/>
                        <w:bottom w:val="none" w:sz="0" w:space="0" w:color="auto"/>
                        <w:right w:val="none" w:sz="0" w:space="0" w:color="auto"/>
                      </w:divBdr>
                      <w:divsChild>
                        <w:div w:id="6512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40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03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1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0385">
                      <w:marLeft w:val="0"/>
                      <w:marRight w:val="0"/>
                      <w:marTop w:val="0"/>
                      <w:marBottom w:val="0"/>
                      <w:divBdr>
                        <w:top w:val="none" w:sz="0" w:space="0" w:color="auto"/>
                        <w:left w:val="none" w:sz="0" w:space="0" w:color="auto"/>
                        <w:bottom w:val="none" w:sz="0" w:space="0" w:color="auto"/>
                        <w:right w:val="none" w:sz="0" w:space="0" w:color="auto"/>
                      </w:divBdr>
                      <w:divsChild>
                        <w:div w:id="12836161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1448243">
                      <w:marLeft w:val="0"/>
                      <w:marRight w:val="0"/>
                      <w:marTop w:val="0"/>
                      <w:marBottom w:val="0"/>
                      <w:divBdr>
                        <w:top w:val="none" w:sz="0" w:space="0" w:color="auto"/>
                        <w:left w:val="none" w:sz="0" w:space="0" w:color="auto"/>
                        <w:bottom w:val="none" w:sz="0" w:space="0" w:color="auto"/>
                        <w:right w:val="none" w:sz="0" w:space="0" w:color="auto"/>
                      </w:divBdr>
                    </w:div>
                    <w:div w:id="1437560198">
                      <w:marLeft w:val="0"/>
                      <w:marRight w:val="0"/>
                      <w:marTop w:val="0"/>
                      <w:marBottom w:val="0"/>
                      <w:divBdr>
                        <w:top w:val="none" w:sz="0" w:space="0" w:color="auto"/>
                        <w:left w:val="none" w:sz="0" w:space="0" w:color="auto"/>
                        <w:bottom w:val="none" w:sz="0" w:space="0" w:color="auto"/>
                        <w:right w:val="none" w:sz="0" w:space="0" w:color="auto"/>
                      </w:divBdr>
                    </w:div>
                    <w:div w:id="1755932938">
                      <w:marLeft w:val="0"/>
                      <w:marRight w:val="0"/>
                      <w:marTop w:val="0"/>
                      <w:marBottom w:val="0"/>
                      <w:divBdr>
                        <w:top w:val="none" w:sz="0" w:space="0" w:color="auto"/>
                        <w:left w:val="none" w:sz="0" w:space="0" w:color="auto"/>
                        <w:bottom w:val="none" w:sz="0" w:space="0" w:color="auto"/>
                        <w:right w:val="none" w:sz="0" w:space="0" w:color="auto"/>
                      </w:divBdr>
                      <w:divsChild>
                        <w:div w:id="1405837934">
                          <w:blockQuote w:val="1"/>
                          <w:marLeft w:val="720"/>
                          <w:marRight w:val="0"/>
                          <w:marTop w:val="100"/>
                          <w:marBottom w:val="100"/>
                          <w:divBdr>
                            <w:top w:val="none" w:sz="0" w:space="0" w:color="auto"/>
                            <w:left w:val="none" w:sz="0" w:space="0" w:color="auto"/>
                            <w:bottom w:val="none" w:sz="0" w:space="0" w:color="auto"/>
                            <w:right w:val="none" w:sz="0" w:space="0" w:color="auto"/>
                          </w:divBdr>
                        </w:div>
                        <w:div w:id="887306332">
                          <w:blockQuote w:val="1"/>
                          <w:marLeft w:val="720"/>
                          <w:marRight w:val="0"/>
                          <w:marTop w:val="100"/>
                          <w:marBottom w:val="100"/>
                          <w:divBdr>
                            <w:top w:val="none" w:sz="0" w:space="0" w:color="auto"/>
                            <w:left w:val="none" w:sz="0" w:space="0" w:color="auto"/>
                            <w:bottom w:val="none" w:sz="0" w:space="0" w:color="auto"/>
                            <w:right w:val="none" w:sz="0" w:space="0" w:color="auto"/>
                          </w:divBdr>
                        </w:div>
                        <w:div w:id="804155885">
                          <w:blockQuote w:val="1"/>
                          <w:marLeft w:val="720"/>
                          <w:marRight w:val="0"/>
                          <w:marTop w:val="100"/>
                          <w:marBottom w:val="100"/>
                          <w:divBdr>
                            <w:top w:val="none" w:sz="0" w:space="0" w:color="auto"/>
                            <w:left w:val="none" w:sz="0" w:space="0" w:color="auto"/>
                            <w:bottom w:val="none" w:sz="0" w:space="0" w:color="auto"/>
                            <w:right w:val="none" w:sz="0" w:space="0" w:color="auto"/>
                          </w:divBdr>
                        </w:div>
                        <w:div w:id="750585573">
                          <w:blockQuote w:val="1"/>
                          <w:marLeft w:val="720"/>
                          <w:marRight w:val="0"/>
                          <w:marTop w:val="100"/>
                          <w:marBottom w:val="100"/>
                          <w:divBdr>
                            <w:top w:val="none" w:sz="0" w:space="0" w:color="auto"/>
                            <w:left w:val="none" w:sz="0" w:space="0" w:color="auto"/>
                            <w:bottom w:val="none" w:sz="0" w:space="0" w:color="auto"/>
                            <w:right w:val="none" w:sz="0" w:space="0" w:color="auto"/>
                          </w:divBdr>
                        </w:div>
                        <w:div w:id="311645339">
                          <w:blockQuote w:val="1"/>
                          <w:marLeft w:val="720"/>
                          <w:marRight w:val="0"/>
                          <w:marTop w:val="100"/>
                          <w:marBottom w:val="100"/>
                          <w:divBdr>
                            <w:top w:val="none" w:sz="0" w:space="0" w:color="auto"/>
                            <w:left w:val="none" w:sz="0" w:space="0" w:color="auto"/>
                            <w:bottom w:val="none" w:sz="0" w:space="0" w:color="auto"/>
                            <w:right w:val="none" w:sz="0" w:space="0" w:color="auto"/>
                          </w:divBdr>
                        </w:div>
                        <w:div w:id="1859654061">
                          <w:blockQuote w:val="1"/>
                          <w:marLeft w:val="720"/>
                          <w:marRight w:val="0"/>
                          <w:marTop w:val="100"/>
                          <w:marBottom w:val="100"/>
                          <w:divBdr>
                            <w:top w:val="none" w:sz="0" w:space="0" w:color="auto"/>
                            <w:left w:val="none" w:sz="0" w:space="0" w:color="auto"/>
                            <w:bottom w:val="none" w:sz="0" w:space="0" w:color="auto"/>
                            <w:right w:val="none" w:sz="0" w:space="0" w:color="auto"/>
                          </w:divBdr>
                        </w:div>
                        <w:div w:id="550848882">
                          <w:blockQuote w:val="1"/>
                          <w:marLeft w:val="720"/>
                          <w:marRight w:val="0"/>
                          <w:marTop w:val="100"/>
                          <w:marBottom w:val="100"/>
                          <w:divBdr>
                            <w:top w:val="none" w:sz="0" w:space="0" w:color="auto"/>
                            <w:left w:val="none" w:sz="0" w:space="0" w:color="auto"/>
                            <w:bottom w:val="none" w:sz="0" w:space="0" w:color="auto"/>
                            <w:right w:val="none" w:sz="0" w:space="0" w:color="auto"/>
                          </w:divBdr>
                        </w:div>
                        <w:div w:id="1202933739">
                          <w:blockQuote w:val="1"/>
                          <w:marLeft w:val="720"/>
                          <w:marRight w:val="0"/>
                          <w:marTop w:val="100"/>
                          <w:marBottom w:val="100"/>
                          <w:divBdr>
                            <w:top w:val="none" w:sz="0" w:space="0" w:color="auto"/>
                            <w:left w:val="none" w:sz="0" w:space="0" w:color="auto"/>
                            <w:bottom w:val="none" w:sz="0" w:space="0" w:color="auto"/>
                            <w:right w:val="none" w:sz="0" w:space="0" w:color="auto"/>
                          </w:divBdr>
                        </w:div>
                        <w:div w:id="341394831">
                          <w:blockQuote w:val="1"/>
                          <w:marLeft w:val="720"/>
                          <w:marRight w:val="0"/>
                          <w:marTop w:val="100"/>
                          <w:marBottom w:val="100"/>
                          <w:divBdr>
                            <w:top w:val="none" w:sz="0" w:space="0" w:color="auto"/>
                            <w:left w:val="none" w:sz="0" w:space="0" w:color="auto"/>
                            <w:bottom w:val="none" w:sz="0" w:space="0" w:color="auto"/>
                            <w:right w:val="none" w:sz="0" w:space="0" w:color="auto"/>
                          </w:divBdr>
                        </w:div>
                        <w:div w:id="665938455">
                          <w:blockQuote w:val="1"/>
                          <w:marLeft w:val="720"/>
                          <w:marRight w:val="0"/>
                          <w:marTop w:val="100"/>
                          <w:marBottom w:val="100"/>
                          <w:divBdr>
                            <w:top w:val="none" w:sz="0" w:space="0" w:color="auto"/>
                            <w:left w:val="none" w:sz="0" w:space="0" w:color="auto"/>
                            <w:bottom w:val="none" w:sz="0" w:space="0" w:color="auto"/>
                            <w:right w:val="none" w:sz="0" w:space="0" w:color="auto"/>
                          </w:divBdr>
                        </w:div>
                        <w:div w:id="201405929">
                          <w:blockQuote w:val="1"/>
                          <w:marLeft w:val="720"/>
                          <w:marRight w:val="0"/>
                          <w:marTop w:val="100"/>
                          <w:marBottom w:val="100"/>
                          <w:divBdr>
                            <w:top w:val="none" w:sz="0" w:space="0" w:color="auto"/>
                            <w:left w:val="none" w:sz="0" w:space="0" w:color="auto"/>
                            <w:bottom w:val="none" w:sz="0" w:space="0" w:color="auto"/>
                            <w:right w:val="none" w:sz="0" w:space="0" w:color="auto"/>
                          </w:divBdr>
                        </w:div>
                        <w:div w:id="1091271627">
                          <w:blockQuote w:val="1"/>
                          <w:marLeft w:val="720"/>
                          <w:marRight w:val="0"/>
                          <w:marTop w:val="100"/>
                          <w:marBottom w:val="100"/>
                          <w:divBdr>
                            <w:top w:val="none" w:sz="0" w:space="0" w:color="auto"/>
                            <w:left w:val="none" w:sz="0" w:space="0" w:color="auto"/>
                            <w:bottom w:val="none" w:sz="0" w:space="0" w:color="auto"/>
                            <w:right w:val="none" w:sz="0" w:space="0" w:color="auto"/>
                          </w:divBdr>
                        </w:div>
                        <w:div w:id="1249919653">
                          <w:blockQuote w:val="1"/>
                          <w:marLeft w:val="720"/>
                          <w:marRight w:val="0"/>
                          <w:marTop w:val="100"/>
                          <w:marBottom w:val="100"/>
                          <w:divBdr>
                            <w:top w:val="none" w:sz="0" w:space="0" w:color="auto"/>
                            <w:left w:val="none" w:sz="0" w:space="0" w:color="auto"/>
                            <w:bottom w:val="none" w:sz="0" w:space="0" w:color="auto"/>
                            <w:right w:val="none" w:sz="0" w:space="0" w:color="auto"/>
                          </w:divBdr>
                        </w:div>
                        <w:div w:id="1517648998">
                          <w:blockQuote w:val="1"/>
                          <w:marLeft w:val="720"/>
                          <w:marRight w:val="0"/>
                          <w:marTop w:val="100"/>
                          <w:marBottom w:val="100"/>
                          <w:divBdr>
                            <w:top w:val="none" w:sz="0" w:space="0" w:color="auto"/>
                            <w:left w:val="none" w:sz="0" w:space="0" w:color="auto"/>
                            <w:bottom w:val="none" w:sz="0" w:space="0" w:color="auto"/>
                            <w:right w:val="none" w:sz="0" w:space="0" w:color="auto"/>
                          </w:divBdr>
                        </w:div>
                        <w:div w:id="179902349">
                          <w:blockQuote w:val="1"/>
                          <w:marLeft w:val="720"/>
                          <w:marRight w:val="0"/>
                          <w:marTop w:val="100"/>
                          <w:marBottom w:val="100"/>
                          <w:divBdr>
                            <w:top w:val="none" w:sz="0" w:space="0" w:color="auto"/>
                            <w:left w:val="none" w:sz="0" w:space="0" w:color="auto"/>
                            <w:bottom w:val="none" w:sz="0" w:space="0" w:color="auto"/>
                            <w:right w:val="none" w:sz="0" w:space="0" w:color="auto"/>
                          </w:divBdr>
                        </w:div>
                        <w:div w:id="106001619">
                          <w:blockQuote w:val="1"/>
                          <w:marLeft w:val="720"/>
                          <w:marRight w:val="0"/>
                          <w:marTop w:val="100"/>
                          <w:marBottom w:val="100"/>
                          <w:divBdr>
                            <w:top w:val="none" w:sz="0" w:space="0" w:color="auto"/>
                            <w:left w:val="none" w:sz="0" w:space="0" w:color="auto"/>
                            <w:bottom w:val="none" w:sz="0" w:space="0" w:color="auto"/>
                            <w:right w:val="none" w:sz="0" w:space="0" w:color="auto"/>
                          </w:divBdr>
                        </w:div>
                        <w:div w:id="8877688">
                          <w:blockQuote w:val="1"/>
                          <w:marLeft w:val="720"/>
                          <w:marRight w:val="0"/>
                          <w:marTop w:val="100"/>
                          <w:marBottom w:val="100"/>
                          <w:divBdr>
                            <w:top w:val="none" w:sz="0" w:space="0" w:color="auto"/>
                            <w:left w:val="none" w:sz="0" w:space="0" w:color="auto"/>
                            <w:bottom w:val="none" w:sz="0" w:space="0" w:color="auto"/>
                            <w:right w:val="none" w:sz="0" w:space="0" w:color="auto"/>
                          </w:divBdr>
                        </w:div>
                        <w:div w:id="313409641">
                          <w:blockQuote w:val="1"/>
                          <w:marLeft w:val="720"/>
                          <w:marRight w:val="0"/>
                          <w:marTop w:val="100"/>
                          <w:marBottom w:val="100"/>
                          <w:divBdr>
                            <w:top w:val="none" w:sz="0" w:space="0" w:color="auto"/>
                            <w:left w:val="none" w:sz="0" w:space="0" w:color="auto"/>
                            <w:bottom w:val="none" w:sz="0" w:space="0" w:color="auto"/>
                            <w:right w:val="none" w:sz="0" w:space="0" w:color="auto"/>
                          </w:divBdr>
                        </w:div>
                        <w:div w:id="220823102">
                          <w:blockQuote w:val="1"/>
                          <w:marLeft w:val="720"/>
                          <w:marRight w:val="0"/>
                          <w:marTop w:val="100"/>
                          <w:marBottom w:val="100"/>
                          <w:divBdr>
                            <w:top w:val="none" w:sz="0" w:space="0" w:color="auto"/>
                            <w:left w:val="none" w:sz="0" w:space="0" w:color="auto"/>
                            <w:bottom w:val="none" w:sz="0" w:space="0" w:color="auto"/>
                            <w:right w:val="none" w:sz="0" w:space="0" w:color="auto"/>
                          </w:divBdr>
                        </w:div>
                        <w:div w:id="1105231745">
                          <w:blockQuote w:val="1"/>
                          <w:marLeft w:val="720"/>
                          <w:marRight w:val="0"/>
                          <w:marTop w:val="100"/>
                          <w:marBottom w:val="100"/>
                          <w:divBdr>
                            <w:top w:val="none" w:sz="0" w:space="0" w:color="auto"/>
                            <w:left w:val="none" w:sz="0" w:space="0" w:color="auto"/>
                            <w:bottom w:val="none" w:sz="0" w:space="0" w:color="auto"/>
                            <w:right w:val="none" w:sz="0" w:space="0" w:color="auto"/>
                          </w:divBdr>
                        </w:div>
                        <w:div w:id="541014207">
                          <w:blockQuote w:val="1"/>
                          <w:marLeft w:val="720"/>
                          <w:marRight w:val="0"/>
                          <w:marTop w:val="100"/>
                          <w:marBottom w:val="100"/>
                          <w:divBdr>
                            <w:top w:val="none" w:sz="0" w:space="0" w:color="auto"/>
                            <w:left w:val="none" w:sz="0" w:space="0" w:color="auto"/>
                            <w:bottom w:val="none" w:sz="0" w:space="0" w:color="auto"/>
                            <w:right w:val="none" w:sz="0" w:space="0" w:color="auto"/>
                          </w:divBdr>
                        </w:div>
                        <w:div w:id="206456831">
                          <w:blockQuote w:val="1"/>
                          <w:marLeft w:val="720"/>
                          <w:marRight w:val="0"/>
                          <w:marTop w:val="100"/>
                          <w:marBottom w:val="100"/>
                          <w:divBdr>
                            <w:top w:val="none" w:sz="0" w:space="0" w:color="auto"/>
                            <w:left w:val="none" w:sz="0" w:space="0" w:color="auto"/>
                            <w:bottom w:val="none" w:sz="0" w:space="0" w:color="auto"/>
                            <w:right w:val="none" w:sz="0" w:space="0" w:color="auto"/>
                          </w:divBdr>
                        </w:div>
                        <w:div w:id="534931132">
                          <w:blockQuote w:val="1"/>
                          <w:marLeft w:val="720"/>
                          <w:marRight w:val="0"/>
                          <w:marTop w:val="100"/>
                          <w:marBottom w:val="100"/>
                          <w:divBdr>
                            <w:top w:val="none" w:sz="0" w:space="0" w:color="auto"/>
                            <w:left w:val="none" w:sz="0" w:space="0" w:color="auto"/>
                            <w:bottom w:val="none" w:sz="0" w:space="0" w:color="auto"/>
                            <w:right w:val="none" w:sz="0" w:space="0" w:color="auto"/>
                          </w:divBdr>
                        </w:div>
                        <w:div w:id="1887372720">
                          <w:blockQuote w:val="1"/>
                          <w:marLeft w:val="720"/>
                          <w:marRight w:val="0"/>
                          <w:marTop w:val="100"/>
                          <w:marBottom w:val="100"/>
                          <w:divBdr>
                            <w:top w:val="none" w:sz="0" w:space="0" w:color="auto"/>
                            <w:left w:val="none" w:sz="0" w:space="0" w:color="auto"/>
                            <w:bottom w:val="none" w:sz="0" w:space="0" w:color="auto"/>
                            <w:right w:val="none" w:sz="0" w:space="0" w:color="auto"/>
                          </w:divBdr>
                        </w:div>
                        <w:div w:id="823354298">
                          <w:blockQuote w:val="1"/>
                          <w:marLeft w:val="720"/>
                          <w:marRight w:val="0"/>
                          <w:marTop w:val="100"/>
                          <w:marBottom w:val="100"/>
                          <w:divBdr>
                            <w:top w:val="none" w:sz="0" w:space="0" w:color="auto"/>
                            <w:left w:val="none" w:sz="0" w:space="0" w:color="auto"/>
                            <w:bottom w:val="none" w:sz="0" w:space="0" w:color="auto"/>
                            <w:right w:val="none" w:sz="0" w:space="0" w:color="auto"/>
                          </w:divBdr>
                        </w:div>
                        <w:div w:id="20061104">
                          <w:blockQuote w:val="1"/>
                          <w:marLeft w:val="720"/>
                          <w:marRight w:val="0"/>
                          <w:marTop w:val="100"/>
                          <w:marBottom w:val="100"/>
                          <w:divBdr>
                            <w:top w:val="none" w:sz="0" w:space="0" w:color="auto"/>
                            <w:left w:val="none" w:sz="0" w:space="0" w:color="auto"/>
                            <w:bottom w:val="none" w:sz="0" w:space="0" w:color="auto"/>
                            <w:right w:val="none" w:sz="0" w:space="0" w:color="auto"/>
                          </w:divBdr>
                        </w:div>
                        <w:div w:id="844633294">
                          <w:blockQuote w:val="1"/>
                          <w:marLeft w:val="720"/>
                          <w:marRight w:val="0"/>
                          <w:marTop w:val="100"/>
                          <w:marBottom w:val="100"/>
                          <w:divBdr>
                            <w:top w:val="none" w:sz="0" w:space="0" w:color="auto"/>
                            <w:left w:val="none" w:sz="0" w:space="0" w:color="auto"/>
                            <w:bottom w:val="none" w:sz="0" w:space="0" w:color="auto"/>
                            <w:right w:val="none" w:sz="0" w:space="0" w:color="auto"/>
                          </w:divBdr>
                        </w:div>
                        <w:div w:id="669795572">
                          <w:blockQuote w:val="1"/>
                          <w:marLeft w:val="720"/>
                          <w:marRight w:val="0"/>
                          <w:marTop w:val="100"/>
                          <w:marBottom w:val="100"/>
                          <w:divBdr>
                            <w:top w:val="none" w:sz="0" w:space="0" w:color="auto"/>
                            <w:left w:val="none" w:sz="0" w:space="0" w:color="auto"/>
                            <w:bottom w:val="none" w:sz="0" w:space="0" w:color="auto"/>
                            <w:right w:val="none" w:sz="0" w:space="0" w:color="auto"/>
                          </w:divBdr>
                        </w:div>
                        <w:div w:id="1576280784">
                          <w:blockQuote w:val="1"/>
                          <w:marLeft w:val="720"/>
                          <w:marRight w:val="0"/>
                          <w:marTop w:val="100"/>
                          <w:marBottom w:val="100"/>
                          <w:divBdr>
                            <w:top w:val="none" w:sz="0" w:space="0" w:color="auto"/>
                            <w:left w:val="none" w:sz="0" w:space="0" w:color="auto"/>
                            <w:bottom w:val="none" w:sz="0" w:space="0" w:color="auto"/>
                            <w:right w:val="none" w:sz="0" w:space="0" w:color="auto"/>
                          </w:divBdr>
                        </w:div>
                        <w:div w:id="172916044">
                          <w:blockQuote w:val="1"/>
                          <w:marLeft w:val="720"/>
                          <w:marRight w:val="0"/>
                          <w:marTop w:val="100"/>
                          <w:marBottom w:val="100"/>
                          <w:divBdr>
                            <w:top w:val="none" w:sz="0" w:space="0" w:color="auto"/>
                            <w:left w:val="none" w:sz="0" w:space="0" w:color="auto"/>
                            <w:bottom w:val="none" w:sz="0" w:space="0" w:color="auto"/>
                            <w:right w:val="none" w:sz="0" w:space="0" w:color="auto"/>
                          </w:divBdr>
                        </w:div>
                        <w:div w:id="110517051">
                          <w:blockQuote w:val="1"/>
                          <w:marLeft w:val="720"/>
                          <w:marRight w:val="0"/>
                          <w:marTop w:val="100"/>
                          <w:marBottom w:val="100"/>
                          <w:divBdr>
                            <w:top w:val="none" w:sz="0" w:space="0" w:color="auto"/>
                            <w:left w:val="none" w:sz="0" w:space="0" w:color="auto"/>
                            <w:bottom w:val="none" w:sz="0" w:space="0" w:color="auto"/>
                            <w:right w:val="none" w:sz="0" w:space="0" w:color="auto"/>
                          </w:divBdr>
                        </w:div>
                        <w:div w:id="245308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ccc@vita.virginia.gov?subject=PERFORMANCE%20BUDGET%20SYSTEM%20ISSUE" TargetMode="External"/><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pb.virginia.gov/forms/20130426-2/BudgetCalendarAgency.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032D5-196B-4A5D-913E-346F3008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5847</Words>
  <Characters>33334</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tsq68588</dc:creator>
  <cp:lastModifiedBy>tsq68588</cp:lastModifiedBy>
  <cp:revision>2</cp:revision>
  <cp:lastPrinted>2013-05-03T14:49:00Z</cp:lastPrinted>
  <dcterms:created xsi:type="dcterms:W3CDTF">2013-05-14T15:14:00Z</dcterms:created>
  <dcterms:modified xsi:type="dcterms:W3CDTF">2013-05-14T15:14:00Z</dcterms:modified>
</cp:coreProperties>
</file>